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0A" w:rsidRDefault="0022416E">
      <w:pPr>
        <w:pStyle w:val="CM-conference"/>
      </w:pPr>
      <w:r>
        <w:t xml:space="preserve">Construction </w:t>
      </w:r>
      <w:proofErr w:type="spellStart"/>
      <w:r>
        <w:t>Maeconomics</w:t>
      </w:r>
      <w:proofErr w:type="spellEnd"/>
      <w:r>
        <w:t xml:space="preserve"> Conference 2015</w:t>
      </w:r>
    </w:p>
    <w:p w:rsidR="006C7A0A" w:rsidRDefault="0022416E">
      <w:pPr>
        <w:pStyle w:val="CM-title"/>
      </w:pPr>
      <w:r>
        <w:t>SWOT Analysis – Implementation of BIM Model in Facility Management</w:t>
      </w:r>
    </w:p>
    <w:p w:rsidR="006C7A0A" w:rsidRDefault="0022416E">
      <w:pPr>
        <w:pStyle w:val="CM-author"/>
        <w:rPr>
          <w:vertAlign w:val="superscript"/>
        </w:rPr>
      </w:pPr>
      <w:proofErr w:type="spellStart"/>
      <w:r>
        <w:t>Matouš</w:t>
      </w:r>
      <w:proofErr w:type="spellEnd"/>
      <w:r>
        <w:t xml:space="preserve"> Kosina</w:t>
      </w:r>
      <w:r>
        <w:rPr>
          <w:vertAlign w:val="superscript"/>
        </w:rPr>
        <w:t>1</w:t>
      </w:r>
      <w:r w:rsidR="00D126E4">
        <w:t>*</w:t>
      </w:r>
      <w:r>
        <w:t>, Petr Matějka</w:t>
      </w:r>
      <w:r>
        <w:rPr>
          <w:vertAlign w:val="superscript"/>
        </w:rPr>
        <w:t>2</w:t>
      </w:r>
    </w:p>
    <w:p w:rsidR="006C7A0A" w:rsidRDefault="0022416E">
      <w:pPr>
        <w:pStyle w:val="CM-authoraffiliation"/>
        <w:rPr>
          <w:rStyle w:val="Internetovodkaz"/>
        </w:rPr>
      </w:pPr>
      <w:r>
        <w:rPr>
          <w:vertAlign w:val="superscript"/>
        </w:rPr>
        <w:t>1</w:t>
      </w:r>
      <w:r>
        <w:t xml:space="preserve">CTU in Prague, Faculty of Civil Engineering, Department of Construction Management and Economics, </w:t>
      </w:r>
      <w:proofErr w:type="spellStart"/>
      <w:r>
        <w:t>Thakurova</w:t>
      </w:r>
      <w:proofErr w:type="spellEnd"/>
      <w:r>
        <w:t xml:space="preserve"> 7, Prague, 166 29, Czech Republic, </w:t>
      </w:r>
      <w:hyperlink r:id="rId6">
        <w:r>
          <w:rPr>
            <w:rStyle w:val="Internetovodkaz"/>
          </w:rPr>
          <w:t>matous.kosina@fsv.cvut.cz</w:t>
        </w:r>
      </w:hyperlink>
    </w:p>
    <w:p w:rsidR="006C7A0A" w:rsidRDefault="0022416E">
      <w:pPr>
        <w:pStyle w:val="CM-authoraffiliation"/>
        <w:rPr>
          <w:rStyle w:val="Internetovodkaz"/>
        </w:rPr>
      </w:pPr>
      <w:r>
        <w:rPr>
          <w:vertAlign w:val="superscript"/>
        </w:rPr>
        <w:t xml:space="preserve"> 1</w:t>
      </w:r>
      <w:r>
        <w:t xml:space="preserve">CTU in Prague, Faculty of Civil Engineering, Department of Construction Management and Economics, </w:t>
      </w:r>
      <w:proofErr w:type="spellStart"/>
      <w:r>
        <w:t>Thakurova</w:t>
      </w:r>
      <w:proofErr w:type="spellEnd"/>
      <w:r>
        <w:t xml:space="preserve"> 7, Prague, 166 29, Czech Republic</w:t>
      </w:r>
    </w:p>
    <w:p w:rsidR="006C7A0A" w:rsidRDefault="006C7A0A">
      <w:pPr>
        <w:pStyle w:val="CM-authoraffiliation"/>
      </w:pPr>
    </w:p>
    <w:p w:rsidR="006C7A0A" w:rsidRDefault="0022416E">
      <w:pPr>
        <w:pStyle w:val="CM-referencesheading"/>
      </w:pPr>
      <w:r>
        <w:t>Abstract</w:t>
      </w:r>
    </w:p>
    <w:p w:rsidR="006C7A0A" w:rsidRDefault="0022416E">
      <w:pPr>
        <w:pStyle w:val="CM-abstractbody"/>
      </w:pPr>
      <w:r>
        <w:t xml:space="preserve">The object of this paper is to figure out the possible reasons why BIM is not used in Facility management and also to find out if implementation of BIM in Facility management is advantageous. Facility management maintains all the components of the building including technologies and also tracking and optimizing the operational costs. Operational costs make over 70 % of the life cycle cost. BIM model can be a good source of input data for Facility management, because it gathers all the data from the construction phase. </w:t>
      </w:r>
    </w:p>
    <w:p w:rsidR="006C7A0A" w:rsidRDefault="006C7A0A">
      <w:pPr>
        <w:pStyle w:val="CM-abstractbody"/>
      </w:pPr>
    </w:p>
    <w:p w:rsidR="006C7A0A" w:rsidRDefault="0022416E">
      <w:pPr>
        <w:pStyle w:val="CM-keywordsheading"/>
      </w:pPr>
      <w:r>
        <w:t>Keywords</w:t>
      </w:r>
    </w:p>
    <w:p w:rsidR="006C7A0A" w:rsidRDefault="0022416E">
      <w:pPr>
        <w:pStyle w:val="CM-keywords"/>
      </w:pPr>
      <w:r>
        <w:t xml:space="preserve">BIM, Facility management, </w:t>
      </w:r>
      <w:proofErr w:type="spellStart"/>
      <w:r>
        <w:t>COBie</w:t>
      </w:r>
      <w:proofErr w:type="spellEnd"/>
    </w:p>
    <w:p w:rsidR="006C7A0A" w:rsidRDefault="006C7A0A">
      <w:pPr>
        <w:pStyle w:val="CM-body"/>
        <w:rPr>
          <w:sz w:val="32"/>
          <w:szCs w:val="32"/>
        </w:rPr>
      </w:pPr>
    </w:p>
    <w:p w:rsidR="006C7A0A" w:rsidRDefault="0022416E">
      <w:pPr>
        <w:pStyle w:val="CM-heading1"/>
        <w:pageBreakBefore/>
      </w:pPr>
      <w:r>
        <w:lastRenderedPageBreak/>
        <w:t>Introduction</w:t>
      </w:r>
    </w:p>
    <w:p w:rsidR="006C7A0A" w:rsidRDefault="0022416E">
      <w:pPr>
        <w:pStyle w:val="CM-body"/>
      </w:pPr>
      <w:r>
        <w:t>One of the most monitored indicators in construction business is Life cycle cost. These costs include the costs of energy, water supply, maintenance or renovation costs, and they make up over 70 % of the total life cycle costs. One way to effectively manage these costs is Facility management. Facility management is very important part of building administration, because one of its goals is to maintain a building in the best possible condition by taking care of maintenance of all the components including technologies and also tracking and optimizing the operational costs. Using information technologies, such as CMMS or CAFM systems make it easier to gather and administrate the operational data and analyze them. Some of the CAFM or CMMS systems support the integration of BIM models, which is a good source of input data.</w:t>
      </w:r>
    </w:p>
    <w:p w:rsidR="006C7A0A" w:rsidRDefault="0022416E">
      <w:pPr>
        <w:pStyle w:val="CM-body"/>
      </w:pPr>
      <w:r>
        <w:t>Today, using BIM in construction processes is not very common in the Czech Republic. And if so, it is only used in construction phase. But BIM model can be very useful in the operating phase as well. During construction, all the data and information about particular components are gathered into the BIM model. BIM model represents digital database of physical and functional characteristics of the building. The data from the model can be later transformed and integrated into the CAFM or CMMS systems and used in the Facility management of the building</w:t>
      </w:r>
      <w:r>
        <w:rPr>
          <w:lang w:val="cs-CZ"/>
        </w:rPr>
        <w:t xml:space="preserve"> [</w:t>
      </w:r>
      <w:hyperlink w:anchor="Red12">
        <w:r>
          <w:rPr>
            <w:rStyle w:val="Nadpis1Char"/>
            <w:color w:val="00000A"/>
            <w:sz w:val="22"/>
            <w:szCs w:val="22"/>
            <w:lang w:val="cs-CZ"/>
          </w:rPr>
          <w:t>1</w:t>
        </w:r>
      </w:hyperlink>
      <w:r>
        <w:rPr>
          <w:lang w:val="cs-CZ"/>
        </w:rPr>
        <w:t>].</w:t>
      </w:r>
      <w:r>
        <w:t xml:space="preserve"> The problem is the standardization of the information base, because the data have to be in exact form to be used in CAFM systems. There are already some standardized systems for transforming the data from the construction phase into the operating phase, for example </w:t>
      </w:r>
      <w:proofErr w:type="spellStart"/>
      <w:r>
        <w:t>COBie</w:t>
      </w:r>
      <w:proofErr w:type="spellEnd"/>
      <w:r>
        <w:t xml:space="preserve"> </w:t>
      </w:r>
      <w:r>
        <w:rPr>
          <w:i/>
        </w:rPr>
        <w:t>(Construction Operations Building information exchange)</w:t>
      </w:r>
      <w:r>
        <w:t xml:space="preserve">. </w:t>
      </w:r>
      <w:proofErr w:type="spellStart"/>
      <w:r>
        <w:t>COBie</w:t>
      </w:r>
      <w:proofErr w:type="spellEnd"/>
      <w:r>
        <w:t xml:space="preserve"> is a standard that delivers gathered information about assets in unified spreadsheets.</w:t>
      </w:r>
    </w:p>
    <w:p w:rsidR="006C7A0A" w:rsidRDefault="0022416E">
      <w:pPr>
        <w:pStyle w:val="CM-body"/>
      </w:pPr>
      <w:r>
        <w:t xml:space="preserve"> The advantages of implementing BIM in Facility management are</w:t>
      </w:r>
      <w:r>
        <w:rPr>
          <w:lang w:val="cs-CZ"/>
        </w:rPr>
        <w:t xml:space="preserve"> [</w:t>
      </w:r>
      <w:hyperlink w:anchor="3">
        <w:r>
          <w:rPr>
            <w:rStyle w:val="Nadpis1Char"/>
            <w:color w:val="00000A"/>
            <w:sz w:val="22"/>
            <w:szCs w:val="22"/>
            <w:lang w:val="cs-CZ"/>
          </w:rPr>
          <w:t>2</w:t>
        </w:r>
      </w:hyperlink>
      <w:r>
        <w:rPr>
          <w:lang w:val="cs-CZ"/>
        </w:rPr>
        <w:t>]</w:t>
      </w:r>
      <w:r>
        <w:t>:</w:t>
      </w:r>
    </w:p>
    <w:p w:rsidR="006C7A0A" w:rsidRDefault="0022416E">
      <w:pPr>
        <w:pStyle w:val="CM-body"/>
        <w:numPr>
          <w:ilvl w:val="0"/>
          <w:numId w:val="3"/>
        </w:numPr>
      </w:pPr>
      <w:r>
        <w:t>Unified information base</w:t>
      </w:r>
    </w:p>
    <w:p w:rsidR="006C7A0A" w:rsidRDefault="0022416E">
      <w:pPr>
        <w:pStyle w:val="CM-body"/>
        <w:numPr>
          <w:ilvl w:val="0"/>
          <w:numId w:val="3"/>
        </w:numPr>
      </w:pPr>
      <w:r>
        <w:t>Effective support for analyses</w:t>
      </w:r>
    </w:p>
    <w:p w:rsidR="006C7A0A" w:rsidRDefault="0022416E">
      <w:pPr>
        <w:pStyle w:val="CM-body"/>
        <w:numPr>
          <w:ilvl w:val="0"/>
          <w:numId w:val="3"/>
        </w:numPr>
      </w:pPr>
      <w:r>
        <w:t>Real-time data view</w:t>
      </w:r>
    </w:p>
    <w:p w:rsidR="006C7A0A" w:rsidRDefault="0022416E">
      <w:pPr>
        <w:pStyle w:val="CM-body"/>
        <w:numPr>
          <w:ilvl w:val="0"/>
          <w:numId w:val="3"/>
        </w:numPr>
      </w:pPr>
      <w:r>
        <w:t>Inventory of assets including location information</w:t>
      </w:r>
    </w:p>
    <w:p w:rsidR="006C7A0A" w:rsidRDefault="0022416E">
      <w:pPr>
        <w:pStyle w:val="CM-body"/>
        <w:numPr>
          <w:ilvl w:val="0"/>
          <w:numId w:val="3"/>
        </w:numPr>
      </w:pPr>
      <w:r>
        <w:t>Exact area management</w:t>
      </w:r>
    </w:p>
    <w:p w:rsidR="006C7A0A" w:rsidRDefault="0022416E">
      <w:pPr>
        <w:pStyle w:val="CM-body"/>
        <w:numPr>
          <w:ilvl w:val="0"/>
          <w:numId w:val="3"/>
        </w:numPr>
      </w:pPr>
      <w:r>
        <w:t>Reducing the number of failures of the equipment</w:t>
      </w:r>
    </w:p>
    <w:p w:rsidR="006C7A0A" w:rsidRDefault="0022416E">
      <w:pPr>
        <w:pStyle w:val="CM-body"/>
        <w:numPr>
          <w:ilvl w:val="0"/>
          <w:numId w:val="3"/>
        </w:numPr>
      </w:pPr>
      <w:r>
        <w:t>Improving work efficiency</w:t>
      </w:r>
    </w:p>
    <w:p w:rsidR="0022416E" w:rsidRDefault="0022416E">
      <w:pPr>
        <w:pStyle w:val="CM-body"/>
        <w:numPr>
          <w:ilvl w:val="0"/>
          <w:numId w:val="3"/>
        </w:numPr>
      </w:pPr>
      <w:r>
        <w:t>More efficient hand over</w:t>
      </w:r>
      <w:r w:rsidR="00345454">
        <w:t xml:space="preserve"> fo</w:t>
      </w:r>
      <w:bookmarkStart w:id="0" w:name="_GoBack"/>
      <w:bookmarkEnd w:id="0"/>
      <w:r w:rsidR="00345454">
        <w:t>r operating phase</w:t>
      </w:r>
    </w:p>
    <w:p w:rsidR="0022416E" w:rsidRDefault="0022416E">
      <w:pPr>
        <w:pStyle w:val="CM-body"/>
        <w:numPr>
          <w:ilvl w:val="0"/>
          <w:numId w:val="3"/>
        </w:numPr>
      </w:pPr>
      <w:r>
        <w:t>Possible connection with other system</w:t>
      </w:r>
      <w:r w:rsidR="00345454">
        <w:t>s</w:t>
      </w:r>
      <w:r>
        <w:t xml:space="preserve"> (for example Building Automation System)</w:t>
      </w:r>
    </w:p>
    <w:p w:rsidR="006C7A0A" w:rsidRDefault="006C7A0A">
      <w:pPr>
        <w:pStyle w:val="CM-body"/>
      </w:pPr>
    </w:p>
    <w:p w:rsidR="006C7A0A" w:rsidRDefault="0022416E">
      <w:pPr>
        <w:pStyle w:val="CM-body"/>
      </w:pPr>
      <w:r>
        <w:t>The goal of this paper is to figure out the possible reasons why BIM is not used in Facility management, and also to find out if the implementation of BIM in Facility management is advantageous.</w:t>
      </w:r>
    </w:p>
    <w:p w:rsidR="006C7A0A" w:rsidRDefault="006C7A0A">
      <w:pPr>
        <w:pStyle w:val="CM-body"/>
        <w:ind w:firstLine="0"/>
      </w:pPr>
    </w:p>
    <w:p w:rsidR="006C7A0A" w:rsidRDefault="0022416E">
      <w:pPr>
        <w:pStyle w:val="CM-heading1"/>
      </w:pPr>
      <w:r>
        <w:t>Methodology</w:t>
      </w:r>
    </w:p>
    <w:p w:rsidR="006C7A0A" w:rsidRDefault="0022416E">
      <w:pPr>
        <w:pStyle w:val="CM-body"/>
      </w:pPr>
      <w:r>
        <w:t xml:space="preserve">To fulfill the goals of this paper, SWOT analysis was used. The factors entering the analysis were defined and then evaluated. The factors were defined according to accessible information and facts (Table 1). The value of each factor was set according to possible impact of each factor. For Strengths and </w:t>
      </w:r>
      <w:proofErr w:type="gramStart"/>
      <w:r>
        <w:t>Opportunities</w:t>
      </w:r>
      <w:proofErr w:type="gramEnd"/>
      <w:r>
        <w:t xml:space="preserve"> the scale from 1 to 5 (5 - highest importance) was used and for Weaknesses and </w:t>
      </w:r>
      <w:r>
        <w:lastRenderedPageBreak/>
        <w:t>Threats the scale of -1 to -5 (-5 - highest importance). Then the weight of each factor was set, so the total in each category equals 1. The total value is a product of value and weight. The evaluation is in Table 2.</w:t>
      </w:r>
    </w:p>
    <w:p w:rsidR="006C7A0A" w:rsidRDefault="0022416E">
      <w:pPr>
        <w:pStyle w:val="CM-heading3"/>
      </w:pPr>
      <w:r>
        <w:t>Strengths</w:t>
      </w:r>
    </w:p>
    <w:p w:rsidR="006C7A0A" w:rsidRDefault="0022416E">
      <w:pPr>
        <w:pStyle w:val="CM-body"/>
      </w:pPr>
      <w:r>
        <w:t>Unified information base</w:t>
      </w:r>
    </w:p>
    <w:p w:rsidR="006C7A0A" w:rsidRDefault="0022416E">
      <w:pPr>
        <w:pStyle w:val="CM-body"/>
        <w:numPr>
          <w:ilvl w:val="0"/>
          <w:numId w:val="4"/>
        </w:numPr>
      </w:pPr>
      <w:r>
        <w:t>All the data are in the same format and in a predefined database.</w:t>
      </w:r>
    </w:p>
    <w:p w:rsidR="006C7A0A" w:rsidRDefault="0022416E">
      <w:pPr>
        <w:pStyle w:val="CM-body"/>
      </w:pPr>
      <w:r>
        <w:t>Easy data handling</w:t>
      </w:r>
    </w:p>
    <w:p w:rsidR="006C7A0A" w:rsidRDefault="0022416E">
      <w:pPr>
        <w:pStyle w:val="CM-body"/>
        <w:numPr>
          <w:ilvl w:val="0"/>
          <w:numId w:val="4"/>
        </w:numPr>
      </w:pPr>
      <w:r>
        <w:t>The data transformed from the BIM model are available all the time and can be actualized.</w:t>
      </w:r>
    </w:p>
    <w:p w:rsidR="006C7A0A" w:rsidRDefault="0022416E">
      <w:pPr>
        <w:pStyle w:val="CM-body"/>
      </w:pPr>
      <w:r>
        <w:t>Real-time data view</w:t>
      </w:r>
    </w:p>
    <w:p w:rsidR="006C7A0A" w:rsidRDefault="0022416E">
      <w:pPr>
        <w:pStyle w:val="CM-body"/>
        <w:numPr>
          <w:ilvl w:val="0"/>
          <w:numId w:val="4"/>
        </w:numPr>
      </w:pPr>
      <w:r>
        <w:t>If the data are actualized, it is possible to get the latest data at any moment and react.</w:t>
      </w:r>
    </w:p>
    <w:p w:rsidR="006C7A0A" w:rsidRDefault="0022416E">
      <w:pPr>
        <w:pStyle w:val="CM-body"/>
      </w:pPr>
      <w:r>
        <w:t>Analysis making and evaluating</w:t>
      </w:r>
    </w:p>
    <w:p w:rsidR="006C7A0A" w:rsidRDefault="0022416E">
      <w:pPr>
        <w:pStyle w:val="CM-body"/>
        <w:numPr>
          <w:ilvl w:val="0"/>
          <w:numId w:val="4"/>
        </w:numPr>
      </w:pPr>
      <w:r>
        <w:t>Easy analysis making (for example energy consumption) and evaluating with use of BIM data.</w:t>
      </w:r>
    </w:p>
    <w:p w:rsidR="006C7A0A" w:rsidRDefault="0022416E">
      <w:pPr>
        <w:pStyle w:val="CM-body"/>
      </w:pPr>
      <w:r>
        <w:t>Improving work efficiency – reducing costs</w:t>
      </w:r>
    </w:p>
    <w:p w:rsidR="006C7A0A" w:rsidRDefault="0022416E">
      <w:pPr>
        <w:pStyle w:val="CM-body"/>
        <w:numPr>
          <w:ilvl w:val="0"/>
          <w:numId w:val="4"/>
        </w:numPr>
      </w:pPr>
      <w:r>
        <w:t>The data are accessible from one interface, there is no need to use more resources.</w:t>
      </w:r>
    </w:p>
    <w:p w:rsidR="006C7A0A" w:rsidRDefault="0022416E">
      <w:pPr>
        <w:pStyle w:val="CM-body"/>
      </w:pPr>
      <w:r>
        <w:t>Reducing the number of component failures</w:t>
      </w:r>
    </w:p>
    <w:p w:rsidR="006C7A0A" w:rsidRDefault="0022416E">
      <w:pPr>
        <w:pStyle w:val="CM-body"/>
        <w:numPr>
          <w:ilvl w:val="0"/>
          <w:numId w:val="4"/>
        </w:numPr>
      </w:pPr>
      <w:r>
        <w:t>BIM model contains the information about needed inspections and repairs. It helps in optimizing the plan of maintenance.</w:t>
      </w:r>
    </w:p>
    <w:p w:rsidR="006C7A0A" w:rsidRDefault="0022416E">
      <w:pPr>
        <w:pStyle w:val="CM-heading3"/>
      </w:pPr>
      <w:r>
        <w:t>Weaknesses</w:t>
      </w:r>
    </w:p>
    <w:p w:rsidR="006C7A0A" w:rsidRDefault="0022416E">
      <w:pPr>
        <w:pStyle w:val="CM-body"/>
      </w:pPr>
      <w:r>
        <w:t>Lack of input data during system implementation</w:t>
      </w:r>
    </w:p>
    <w:p w:rsidR="006C7A0A" w:rsidRDefault="0022416E">
      <w:pPr>
        <w:pStyle w:val="CM-body"/>
        <w:numPr>
          <w:ilvl w:val="0"/>
          <w:numId w:val="4"/>
        </w:numPr>
      </w:pPr>
      <w:r>
        <w:t>When the system is implemented on existing building where the data were not handled correctly and responsibly during construction phases.</w:t>
      </w:r>
    </w:p>
    <w:p w:rsidR="006C7A0A" w:rsidRDefault="0022416E">
      <w:pPr>
        <w:pStyle w:val="CM-body"/>
      </w:pPr>
      <w:r>
        <w:t>Absence of BIM experts</w:t>
      </w:r>
    </w:p>
    <w:p w:rsidR="006C7A0A" w:rsidRDefault="0022416E">
      <w:pPr>
        <w:pStyle w:val="CM-body"/>
        <w:numPr>
          <w:ilvl w:val="0"/>
          <w:numId w:val="4"/>
        </w:numPr>
      </w:pPr>
      <w:r>
        <w:t>Using BIM is not common in the Czech Republic, so there are no experts experienced in implementing BIM in Facility management.</w:t>
      </w:r>
    </w:p>
    <w:p w:rsidR="006C7A0A" w:rsidRDefault="0022416E">
      <w:pPr>
        <w:pStyle w:val="CM-body"/>
      </w:pPr>
      <w:r>
        <w:t>Higher incoming investment</w:t>
      </w:r>
    </w:p>
    <w:p w:rsidR="006C7A0A" w:rsidRDefault="0022416E">
      <w:pPr>
        <w:pStyle w:val="CM-body"/>
        <w:numPr>
          <w:ilvl w:val="0"/>
          <w:numId w:val="4"/>
        </w:numPr>
      </w:pPr>
      <w:r>
        <w:t xml:space="preserve">It is </w:t>
      </w:r>
      <w:proofErr w:type="gramStart"/>
      <w:r>
        <w:t>more costly</w:t>
      </w:r>
      <w:proofErr w:type="gramEnd"/>
      <w:r>
        <w:t xml:space="preserve"> to create BIM model than usual 2D documentation.</w:t>
      </w:r>
    </w:p>
    <w:p w:rsidR="006C7A0A" w:rsidRDefault="0022416E">
      <w:pPr>
        <w:pStyle w:val="CM-heading3"/>
      </w:pPr>
      <w:r>
        <w:t>Opportunities</w:t>
      </w:r>
    </w:p>
    <w:p w:rsidR="006C7A0A" w:rsidRDefault="0022416E">
      <w:pPr>
        <w:pStyle w:val="CM-body"/>
      </w:pPr>
      <w:r>
        <w:t>Evolving field, sharing outcomes</w:t>
      </w:r>
    </w:p>
    <w:p w:rsidR="006C7A0A" w:rsidRDefault="0022416E">
      <w:pPr>
        <w:pStyle w:val="CM-body"/>
        <w:numPr>
          <w:ilvl w:val="0"/>
          <w:numId w:val="4"/>
        </w:numPr>
      </w:pPr>
      <w:r>
        <w:t>Gathering data and its evaluation can bring new information and experience that can be used in other projects.</w:t>
      </w:r>
    </w:p>
    <w:p w:rsidR="006C7A0A" w:rsidRDefault="0022416E">
      <w:pPr>
        <w:pStyle w:val="CM-body"/>
      </w:pPr>
      <w:r>
        <w:t>Fast reaction to energy price changes</w:t>
      </w:r>
    </w:p>
    <w:p w:rsidR="006C7A0A" w:rsidRDefault="0022416E">
      <w:pPr>
        <w:pStyle w:val="CM-body"/>
        <w:numPr>
          <w:ilvl w:val="0"/>
          <w:numId w:val="4"/>
        </w:numPr>
      </w:pPr>
      <w:r>
        <w:t xml:space="preserve">If current data is used and analysis is made, it is possible to optimize current system for </w:t>
      </w:r>
      <w:proofErr w:type="gramStart"/>
      <w:r>
        <w:t>changes  energy</w:t>
      </w:r>
      <w:proofErr w:type="gramEnd"/>
      <w:r>
        <w:t xml:space="preserve"> prices.</w:t>
      </w:r>
    </w:p>
    <w:p w:rsidR="006C7A0A" w:rsidRDefault="0022416E">
      <w:pPr>
        <w:pStyle w:val="CM-body"/>
      </w:pPr>
      <w:r>
        <w:t>Reducing life cycle costs</w:t>
      </w:r>
    </w:p>
    <w:p w:rsidR="006C7A0A" w:rsidRDefault="0022416E">
      <w:pPr>
        <w:pStyle w:val="CM-body"/>
        <w:numPr>
          <w:ilvl w:val="0"/>
          <w:numId w:val="4"/>
        </w:numPr>
      </w:pPr>
      <w:r>
        <w:t>Thanks to optimizing the energy consumption and maintenance plan, life cycle costs are reduced</w:t>
      </w:r>
    </w:p>
    <w:p w:rsidR="006C7A0A" w:rsidRDefault="0022416E">
      <w:pPr>
        <w:pStyle w:val="CM-heading3"/>
      </w:pPr>
      <w:r>
        <w:t>Threats</w:t>
      </w:r>
    </w:p>
    <w:p w:rsidR="006C7A0A" w:rsidRDefault="0022416E">
      <w:pPr>
        <w:pStyle w:val="CM-body"/>
      </w:pPr>
      <w:r>
        <w:t>Changes in legislation</w:t>
      </w:r>
    </w:p>
    <w:p w:rsidR="006C7A0A" w:rsidRDefault="0022416E">
      <w:pPr>
        <w:pStyle w:val="CM-body"/>
        <w:numPr>
          <w:ilvl w:val="0"/>
          <w:numId w:val="4"/>
        </w:numPr>
      </w:pPr>
      <w:r>
        <w:t>Possible changes in legislation can cause the need of changing current data administration</w:t>
      </w:r>
    </w:p>
    <w:p w:rsidR="006C7A0A" w:rsidRDefault="0022416E">
      <w:pPr>
        <w:pStyle w:val="CM-body"/>
        <w:rPr>
          <w:rFonts w:eastAsia="Times New Roman"/>
          <w:color w:val="000000"/>
          <w:lang w:eastAsia="cs-CZ"/>
        </w:rPr>
      </w:pPr>
      <w:r>
        <w:rPr>
          <w:rFonts w:eastAsia="Times New Roman"/>
          <w:color w:val="000000"/>
          <w:lang w:eastAsia="cs-CZ"/>
        </w:rPr>
        <w:lastRenderedPageBreak/>
        <w:t>Unwillingness of the contractors to use BIM</w:t>
      </w:r>
    </w:p>
    <w:p w:rsidR="006C7A0A" w:rsidRDefault="0022416E">
      <w:pPr>
        <w:pStyle w:val="CM-body"/>
        <w:numPr>
          <w:ilvl w:val="0"/>
          <w:numId w:val="4"/>
        </w:numPr>
      </w:pPr>
      <w:r>
        <w:t>After crisis in construction business, contractors do not want to take the risk of low return of investment during BIM implementation</w:t>
      </w:r>
    </w:p>
    <w:p w:rsidR="006C7A0A" w:rsidRDefault="006C7A0A">
      <w:pPr>
        <w:pStyle w:val="CM-body"/>
        <w:ind w:firstLine="0"/>
      </w:pPr>
    </w:p>
    <w:p w:rsidR="006C7A0A" w:rsidRDefault="0022416E">
      <w:pPr>
        <w:pStyle w:val="Titulek"/>
        <w:keepNext/>
        <w:rPr>
          <w:b/>
          <w:i w:val="0"/>
          <w:color w:val="00000A"/>
          <w:lang w:val="en-US"/>
        </w:rPr>
      </w:pPr>
      <w:r>
        <w:rPr>
          <w:b/>
          <w:i w:val="0"/>
          <w:color w:val="00000A"/>
          <w:lang w:val="en-US"/>
        </w:rPr>
        <w:t xml:space="preserve">Table </w:t>
      </w:r>
      <w:r>
        <w:rPr>
          <w:b/>
          <w:i w:val="0"/>
          <w:color w:val="00000A"/>
          <w:lang w:val="en-US"/>
        </w:rPr>
        <w:fldChar w:fldCharType="begin"/>
      </w:r>
      <w:r>
        <w:instrText>SEQ "Tabulka" \*Arabic</w:instrText>
      </w:r>
      <w:r>
        <w:fldChar w:fldCharType="separate"/>
      </w:r>
      <w:r>
        <w:t>1</w:t>
      </w:r>
      <w:r>
        <w:fldChar w:fldCharType="end"/>
      </w:r>
      <w:r>
        <w:rPr>
          <w:b/>
          <w:i w:val="0"/>
          <w:color w:val="00000A"/>
          <w:lang w:val="en-US"/>
        </w:rPr>
        <w:t xml:space="preserve"> - Factors entering SWOT analysis (source: authors)</w:t>
      </w:r>
    </w:p>
    <w:tbl>
      <w:tblPr>
        <w:tblW w:w="0" w:type="auto"/>
        <w:tblBorders>
          <w:top w:val="single" w:sz="8" w:space="0" w:color="00000A"/>
          <w:left w:val="single" w:sz="8" w:space="0" w:color="00000A"/>
          <w:bottom w:val="single" w:sz="4" w:space="0" w:color="000001"/>
          <w:right w:val="single" w:sz="8" w:space="0" w:color="00000A"/>
          <w:insideH w:val="single" w:sz="4" w:space="0" w:color="000001"/>
          <w:insideV w:val="single" w:sz="8" w:space="0" w:color="00000A"/>
        </w:tblBorders>
        <w:tblCellMar>
          <w:left w:w="60" w:type="dxa"/>
          <w:right w:w="70" w:type="dxa"/>
        </w:tblCellMar>
        <w:tblLook w:val="04A0" w:firstRow="1" w:lastRow="0" w:firstColumn="1" w:lastColumn="0" w:noHBand="0" w:noVBand="1"/>
      </w:tblPr>
      <w:tblGrid>
        <w:gridCol w:w="565"/>
        <w:gridCol w:w="3975"/>
        <w:gridCol w:w="4662"/>
      </w:tblGrid>
      <w:tr w:rsidR="006C7A0A">
        <w:trPr>
          <w:trHeight w:val="302"/>
        </w:trPr>
        <w:tc>
          <w:tcPr>
            <w:tcW w:w="573" w:type="dxa"/>
            <w:vMerge w:val="restart"/>
            <w:tcBorders>
              <w:top w:val="single" w:sz="8" w:space="0" w:color="00000A"/>
              <w:left w:val="single" w:sz="8" w:space="0" w:color="00000A"/>
              <w:bottom w:val="single" w:sz="4" w:space="0" w:color="000001"/>
              <w:right w:val="single" w:sz="8" w:space="0" w:color="00000A"/>
            </w:tcBorders>
            <w:shd w:val="clear" w:color="auto" w:fill="FFFFFF"/>
            <w:tcMar>
              <w:left w:w="60" w:type="dxa"/>
            </w:tcMar>
            <w:textDirection w:val="btLr"/>
            <w:vAlign w:val="center"/>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INTERNAL FACTORS</w:t>
            </w:r>
          </w:p>
        </w:tc>
        <w:tc>
          <w:tcPr>
            <w:tcW w:w="4094" w:type="dxa"/>
            <w:tcBorders>
              <w:top w:val="single" w:sz="8" w:space="0" w:color="00000A"/>
              <w:left w:val="nil"/>
              <w:bottom w:val="single" w:sz="8" w:space="0" w:color="00000A"/>
              <w:right w:val="single" w:sz="4" w:space="0" w:color="00000A"/>
            </w:tcBorders>
            <w:shd w:val="clear" w:color="auto" w:fill="FFFFFF"/>
            <w:vAlign w:val="center"/>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S - Strengths</w:t>
            </w:r>
          </w:p>
        </w:tc>
        <w:tc>
          <w:tcPr>
            <w:tcW w:w="4821" w:type="dxa"/>
            <w:tcBorders>
              <w:top w:val="single" w:sz="8" w:space="0" w:color="00000A"/>
              <w:left w:val="nil"/>
              <w:bottom w:val="single" w:sz="8" w:space="0" w:color="00000A"/>
              <w:right w:val="single" w:sz="8" w:space="0" w:color="00000A"/>
            </w:tcBorders>
            <w:shd w:val="clear" w:color="auto" w:fill="FFFFFF"/>
            <w:vAlign w:val="center"/>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W - Weaknesses</w:t>
            </w:r>
          </w:p>
        </w:tc>
      </w:tr>
      <w:tr w:rsidR="006C7A0A">
        <w:trPr>
          <w:trHeight w:val="287"/>
        </w:trPr>
        <w:tc>
          <w:tcPr>
            <w:tcW w:w="573" w:type="dxa"/>
            <w:vMerge/>
            <w:tcBorders>
              <w:top w:val="single" w:sz="8" w:space="0" w:color="00000A"/>
              <w:left w:val="single" w:sz="8" w:space="0" w:color="00000A"/>
              <w:bottom w:val="single" w:sz="4"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4"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Unified information base</w:t>
            </w:r>
          </w:p>
        </w:tc>
        <w:tc>
          <w:tcPr>
            <w:tcW w:w="4821" w:type="dxa"/>
            <w:tcBorders>
              <w:top w:val="nil"/>
              <w:left w:val="nil"/>
              <w:bottom w:val="single" w:sz="4" w:space="0" w:color="00000A"/>
              <w:right w:val="single" w:sz="8"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Lack of input data during implementing the system</w:t>
            </w:r>
          </w:p>
        </w:tc>
      </w:tr>
      <w:tr w:rsidR="006C7A0A">
        <w:trPr>
          <w:trHeight w:val="287"/>
        </w:trPr>
        <w:tc>
          <w:tcPr>
            <w:tcW w:w="573" w:type="dxa"/>
            <w:vMerge/>
            <w:tcBorders>
              <w:top w:val="single" w:sz="8" w:space="0" w:color="00000A"/>
              <w:left w:val="single" w:sz="8" w:space="0" w:color="00000A"/>
              <w:bottom w:val="single" w:sz="4"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4"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Easy data handling</w:t>
            </w:r>
          </w:p>
        </w:tc>
        <w:tc>
          <w:tcPr>
            <w:tcW w:w="4821" w:type="dxa"/>
            <w:tcBorders>
              <w:top w:val="nil"/>
              <w:left w:val="nil"/>
              <w:bottom w:val="single" w:sz="4" w:space="0" w:color="00000A"/>
              <w:right w:val="single" w:sz="8"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Absence of the BIM experts</w:t>
            </w:r>
          </w:p>
        </w:tc>
      </w:tr>
      <w:tr w:rsidR="006C7A0A">
        <w:trPr>
          <w:trHeight w:val="287"/>
        </w:trPr>
        <w:tc>
          <w:tcPr>
            <w:tcW w:w="573" w:type="dxa"/>
            <w:vMerge/>
            <w:tcBorders>
              <w:top w:val="single" w:sz="8" w:space="0" w:color="00000A"/>
              <w:left w:val="single" w:sz="8" w:space="0" w:color="00000A"/>
              <w:bottom w:val="single" w:sz="4"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4"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Real-time data view</w:t>
            </w:r>
          </w:p>
        </w:tc>
        <w:tc>
          <w:tcPr>
            <w:tcW w:w="4821" w:type="dxa"/>
            <w:tcBorders>
              <w:top w:val="nil"/>
              <w:left w:val="nil"/>
              <w:bottom w:val="single" w:sz="4" w:space="0" w:color="00000A"/>
              <w:right w:val="single" w:sz="8"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Higher incoming investment</w:t>
            </w:r>
          </w:p>
        </w:tc>
      </w:tr>
      <w:tr w:rsidR="006C7A0A">
        <w:trPr>
          <w:trHeight w:val="287"/>
        </w:trPr>
        <w:tc>
          <w:tcPr>
            <w:tcW w:w="573" w:type="dxa"/>
            <w:vMerge/>
            <w:tcBorders>
              <w:top w:val="single" w:sz="8" w:space="0" w:color="00000A"/>
              <w:left w:val="single" w:sz="8" w:space="0" w:color="00000A"/>
              <w:bottom w:val="single" w:sz="4"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4"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Analysis making and evaluating</w:t>
            </w:r>
          </w:p>
        </w:tc>
        <w:tc>
          <w:tcPr>
            <w:tcW w:w="4821" w:type="dxa"/>
            <w:tcBorders>
              <w:top w:val="nil"/>
              <w:left w:val="nil"/>
              <w:bottom w:val="single" w:sz="4" w:space="0" w:color="00000A"/>
              <w:right w:val="single" w:sz="8" w:space="0" w:color="00000A"/>
            </w:tcBorders>
            <w:shd w:val="clear" w:color="auto" w:fill="FFFFFF"/>
            <w:vAlign w:val="center"/>
          </w:tcPr>
          <w:p w:rsidR="006C7A0A" w:rsidRDefault="006C7A0A">
            <w:pPr>
              <w:spacing w:after="0" w:line="240" w:lineRule="auto"/>
              <w:rPr>
                <w:rFonts w:eastAsia="Times New Roman"/>
                <w:color w:val="000000"/>
                <w:lang w:val="en-US" w:eastAsia="cs-CZ"/>
              </w:rPr>
            </w:pPr>
          </w:p>
        </w:tc>
      </w:tr>
      <w:tr w:rsidR="006C7A0A">
        <w:trPr>
          <w:trHeight w:val="287"/>
        </w:trPr>
        <w:tc>
          <w:tcPr>
            <w:tcW w:w="573" w:type="dxa"/>
            <w:vMerge/>
            <w:tcBorders>
              <w:top w:val="single" w:sz="8" w:space="0" w:color="00000A"/>
              <w:left w:val="single" w:sz="8" w:space="0" w:color="00000A"/>
              <w:bottom w:val="single" w:sz="4"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4"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Improving work efficiency - reducing costs</w:t>
            </w:r>
          </w:p>
        </w:tc>
        <w:tc>
          <w:tcPr>
            <w:tcW w:w="4821" w:type="dxa"/>
            <w:tcBorders>
              <w:top w:val="nil"/>
              <w:left w:val="nil"/>
              <w:bottom w:val="single" w:sz="4" w:space="0" w:color="00000A"/>
              <w:right w:val="single" w:sz="8" w:space="0" w:color="00000A"/>
            </w:tcBorders>
            <w:shd w:val="clear" w:color="auto" w:fill="FFFFFF"/>
            <w:vAlign w:val="center"/>
          </w:tcPr>
          <w:p w:rsidR="006C7A0A" w:rsidRDefault="006C7A0A">
            <w:pPr>
              <w:spacing w:after="0" w:line="240" w:lineRule="auto"/>
              <w:rPr>
                <w:rFonts w:eastAsia="Times New Roman"/>
                <w:color w:val="000000"/>
                <w:lang w:val="en-US" w:eastAsia="cs-CZ"/>
              </w:rPr>
            </w:pPr>
          </w:p>
        </w:tc>
      </w:tr>
      <w:tr w:rsidR="006C7A0A">
        <w:trPr>
          <w:trHeight w:val="302"/>
        </w:trPr>
        <w:tc>
          <w:tcPr>
            <w:tcW w:w="573" w:type="dxa"/>
            <w:vMerge/>
            <w:tcBorders>
              <w:top w:val="single" w:sz="8" w:space="0" w:color="00000A"/>
              <w:left w:val="single" w:sz="8" w:space="0" w:color="00000A"/>
              <w:bottom w:val="single" w:sz="4"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nil"/>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Reducing the number of failures of the components</w:t>
            </w:r>
          </w:p>
        </w:tc>
        <w:tc>
          <w:tcPr>
            <w:tcW w:w="4821" w:type="dxa"/>
            <w:tcBorders>
              <w:top w:val="nil"/>
              <w:left w:val="nil"/>
              <w:bottom w:val="nil"/>
              <w:right w:val="single" w:sz="8" w:space="0" w:color="00000A"/>
            </w:tcBorders>
            <w:shd w:val="clear" w:color="auto" w:fill="FFFFFF"/>
            <w:vAlign w:val="center"/>
          </w:tcPr>
          <w:p w:rsidR="006C7A0A" w:rsidRDefault="006C7A0A">
            <w:pPr>
              <w:spacing w:after="0" w:line="240" w:lineRule="auto"/>
              <w:rPr>
                <w:rFonts w:eastAsia="Times New Roman"/>
                <w:color w:val="000000"/>
                <w:lang w:val="en-US" w:eastAsia="cs-CZ"/>
              </w:rPr>
            </w:pPr>
          </w:p>
        </w:tc>
      </w:tr>
      <w:tr w:rsidR="006C7A0A">
        <w:trPr>
          <w:trHeight w:val="302"/>
        </w:trPr>
        <w:tc>
          <w:tcPr>
            <w:tcW w:w="573" w:type="dxa"/>
            <w:vMerge w:val="restart"/>
            <w:tcBorders>
              <w:top w:val="nil"/>
              <w:left w:val="single" w:sz="8" w:space="0" w:color="00000A"/>
              <w:bottom w:val="single" w:sz="8" w:space="0" w:color="000001"/>
              <w:right w:val="single" w:sz="8" w:space="0" w:color="00000A"/>
            </w:tcBorders>
            <w:shd w:val="clear" w:color="auto" w:fill="FFFFFF"/>
            <w:tcMar>
              <w:left w:w="60" w:type="dxa"/>
            </w:tcMar>
            <w:textDirection w:val="btLr"/>
            <w:vAlign w:val="center"/>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EXTERNAL FACTORS</w:t>
            </w:r>
          </w:p>
        </w:tc>
        <w:tc>
          <w:tcPr>
            <w:tcW w:w="4094" w:type="dxa"/>
            <w:tcBorders>
              <w:top w:val="single" w:sz="8" w:space="0" w:color="00000A"/>
              <w:left w:val="nil"/>
              <w:bottom w:val="single" w:sz="8" w:space="0" w:color="00000A"/>
              <w:right w:val="single" w:sz="4" w:space="0" w:color="00000A"/>
            </w:tcBorders>
            <w:shd w:val="clear" w:color="auto" w:fill="FFFFFF"/>
            <w:vAlign w:val="center"/>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O - Opportunities</w:t>
            </w:r>
          </w:p>
        </w:tc>
        <w:tc>
          <w:tcPr>
            <w:tcW w:w="4821" w:type="dxa"/>
            <w:tcBorders>
              <w:top w:val="single" w:sz="8" w:space="0" w:color="00000A"/>
              <w:left w:val="nil"/>
              <w:bottom w:val="single" w:sz="8" w:space="0" w:color="00000A"/>
              <w:right w:val="single" w:sz="8" w:space="0" w:color="00000A"/>
            </w:tcBorders>
            <w:shd w:val="clear" w:color="auto" w:fill="FFFFFF"/>
            <w:vAlign w:val="center"/>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T - Threats</w:t>
            </w:r>
          </w:p>
        </w:tc>
      </w:tr>
      <w:tr w:rsidR="006C7A0A">
        <w:trPr>
          <w:trHeight w:val="287"/>
        </w:trPr>
        <w:tc>
          <w:tcPr>
            <w:tcW w:w="573" w:type="dxa"/>
            <w:vMerge/>
            <w:tcBorders>
              <w:top w:val="nil"/>
              <w:left w:val="single" w:sz="8" w:space="0" w:color="00000A"/>
              <w:bottom w:val="single" w:sz="8"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4"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Evolving field, sharing outcomes</w:t>
            </w:r>
          </w:p>
        </w:tc>
        <w:tc>
          <w:tcPr>
            <w:tcW w:w="4821" w:type="dxa"/>
            <w:tcBorders>
              <w:top w:val="nil"/>
              <w:left w:val="nil"/>
              <w:bottom w:val="single" w:sz="4" w:space="0" w:color="00000A"/>
              <w:right w:val="single" w:sz="8"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Changes in legislation</w:t>
            </w:r>
          </w:p>
        </w:tc>
      </w:tr>
      <w:tr w:rsidR="006C7A0A">
        <w:trPr>
          <w:trHeight w:val="287"/>
        </w:trPr>
        <w:tc>
          <w:tcPr>
            <w:tcW w:w="573" w:type="dxa"/>
            <w:vMerge/>
            <w:tcBorders>
              <w:top w:val="nil"/>
              <w:left w:val="single" w:sz="8" w:space="0" w:color="00000A"/>
              <w:bottom w:val="single" w:sz="8"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4"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Fast reaction to energy price changes</w:t>
            </w:r>
          </w:p>
        </w:tc>
        <w:tc>
          <w:tcPr>
            <w:tcW w:w="4821" w:type="dxa"/>
            <w:tcBorders>
              <w:top w:val="nil"/>
              <w:left w:val="nil"/>
              <w:bottom w:val="single" w:sz="4" w:space="0" w:color="00000A"/>
              <w:right w:val="single" w:sz="8"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Unwillingness of the contractors to use BIM</w:t>
            </w:r>
          </w:p>
        </w:tc>
      </w:tr>
      <w:tr w:rsidR="006C7A0A">
        <w:trPr>
          <w:trHeight w:val="287"/>
        </w:trPr>
        <w:tc>
          <w:tcPr>
            <w:tcW w:w="573" w:type="dxa"/>
            <w:vMerge/>
            <w:tcBorders>
              <w:top w:val="nil"/>
              <w:left w:val="single" w:sz="8" w:space="0" w:color="00000A"/>
              <w:bottom w:val="single" w:sz="8"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4"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Data standardization</w:t>
            </w:r>
          </w:p>
        </w:tc>
        <w:tc>
          <w:tcPr>
            <w:tcW w:w="4821" w:type="dxa"/>
            <w:tcBorders>
              <w:top w:val="nil"/>
              <w:left w:val="nil"/>
              <w:bottom w:val="single" w:sz="4" w:space="0" w:color="00000A"/>
              <w:right w:val="single" w:sz="8" w:space="0" w:color="00000A"/>
            </w:tcBorders>
            <w:shd w:val="clear" w:color="auto" w:fill="FFFFFF"/>
            <w:vAlign w:val="center"/>
          </w:tcPr>
          <w:p w:rsidR="006C7A0A" w:rsidRDefault="006C7A0A">
            <w:pPr>
              <w:spacing w:after="0" w:line="240" w:lineRule="auto"/>
              <w:rPr>
                <w:rFonts w:eastAsia="Times New Roman"/>
                <w:color w:val="000000"/>
                <w:lang w:val="en-US" w:eastAsia="cs-CZ"/>
              </w:rPr>
            </w:pPr>
          </w:p>
        </w:tc>
      </w:tr>
      <w:tr w:rsidR="006C7A0A">
        <w:trPr>
          <w:trHeight w:val="302"/>
        </w:trPr>
        <w:tc>
          <w:tcPr>
            <w:tcW w:w="573" w:type="dxa"/>
            <w:vMerge/>
            <w:tcBorders>
              <w:top w:val="nil"/>
              <w:left w:val="single" w:sz="8" w:space="0" w:color="00000A"/>
              <w:bottom w:val="single" w:sz="8" w:space="0" w:color="000001"/>
              <w:right w:val="single" w:sz="8" w:space="0" w:color="00000A"/>
            </w:tcBorders>
            <w:shd w:val="clear" w:color="auto" w:fill="auto"/>
            <w:tcMar>
              <w:left w:w="60" w:type="dxa"/>
            </w:tcMar>
            <w:vAlign w:val="center"/>
          </w:tcPr>
          <w:p w:rsidR="006C7A0A" w:rsidRDefault="006C7A0A">
            <w:pPr>
              <w:spacing w:after="0" w:line="240" w:lineRule="auto"/>
              <w:rPr>
                <w:rFonts w:eastAsia="Times New Roman"/>
                <w:b/>
                <w:bCs/>
                <w:color w:val="000000"/>
                <w:lang w:val="en-US" w:eastAsia="cs-CZ"/>
              </w:rPr>
            </w:pPr>
          </w:p>
        </w:tc>
        <w:tc>
          <w:tcPr>
            <w:tcW w:w="4094" w:type="dxa"/>
            <w:tcBorders>
              <w:top w:val="nil"/>
              <w:left w:val="nil"/>
              <w:bottom w:val="single" w:sz="8" w:space="0" w:color="00000A"/>
              <w:right w:val="single" w:sz="4" w:space="0" w:color="00000A"/>
            </w:tcBorders>
            <w:shd w:val="clear" w:color="auto" w:fill="FFFFFF"/>
            <w:vAlign w:val="center"/>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Reducing life cycle costs</w:t>
            </w:r>
          </w:p>
        </w:tc>
        <w:tc>
          <w:tcPr>
            <w:tcW w:w="4821" w:type="dxa"/>
            <w:tcBorders>
              <w:top w:val="nil"/>
              <w:left w:val="nil"/>
              <w:bottom w:val="single" w:sz="8" w:space="0" w:color="00000A"/>
              <w:right w:val="single" w:sz="8" w:space="0" w:color="00000A"/>
            </w:tcBorders>
            <w:shd w:val="clear" w:color="auto" w:fill="FFFFFF"/>
            <w:vAlign w:val="center"/>
          </w:tcPr>
          <w:p w:rsidR="006C7A0A" w:rsidRDefault="006C7A0A">
            <w:pPr>
              <w:spacing w:after="0" w:line="240" w:lineRule="auto"/>
              <w:rPr>
                <w:rFonts w:eastAsia="Times New Roman"/>
                <w:color w:val="000000"/>
                <w:lang w:val="en-US" w:eastAsia="cs-CZ"/>
              </w:rPr>
            </w:pPr>
          </w:p>
        </w:tc>
      </w:tr>
    </w:tbl>
    <w:p w:rsidR="006C7A0A" w:rsidRDefault="006C7A0A">
      <w:pPr>
        <w:pStyle w:val="CM-body"/>
        <w:ind w:firstLine="0"/>
      </w:pPr>
    </w:p>
    <w:p w:rsidR="006C7A0A" w:rsidRDefault="006C7A0A">
      <w:pPr>
        <w:pStyle w:val="CM-body"/>
        <w:ind w:firstLine="0"/>
      </w:pPr>
    </w:p>
    <w:p w:rsidR="006C7A0A" w:rsidRDefault="0022416E">
      <w:pPr>
        <w:pStyle w:val="Titulek"/>
        <w:keepNext/>
        <w:rPr>
          <w:b/>
          <w:i w:val="0"/>
          <w:color w:val="00000A"/>
          <w:lang w:val="en-US"/>
        </w:rPr>
      </w:pPr>
      <w:r>
        <w:rPr>
          <w:b/>
          <w:i w:val="0"/>
          <w:color w:val="00000A"/>
          <w:lang w:val="en-US"/>
        </w:rPr>
        <w:t xml:space="preserve">Table </w:t>
      </w:r>
      <w:r>
        <w:rPr>
          <w:b/>
          <w:i w:val="0"/>
          <w:color w:val="00000A"/>
          <w:lang w:val="en-US"/>
        </w:rPr>
        <w:fldChar w:fldCharType="begin"/>
      </w:r>
      <w:r>
        <w:instrText>SEQ "Tabulka" \*Arabic</w:instrText>
      </w:r>
      <w:r>
        <w:fldChar w:fldCharType="separate"/>
      </w:r>
      <w:r>
        <w:t>2</w:t>
      </w:r>
      <w:r>
        <w:fldChar w:fldCharType="end"/>
      </w:r>
      <w:r>
        <w:rPr>
          <w:b/>
          <w:i w:val="0"/>
          <w:color w:val="00000A"/>
          <w:lang w:val="en-US"/>
        </w:rPr>
        <w:t xml:space="preserve"> - Evaluation of SWOT analysis (source: authors)</w:t>
      </w:r>
    </w:p>
    <w:tbl>
      <w:tblPr>
        <w:tblW w:w="0" w:type="auto"/>
        <w:jc w:val="center"/>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4899"/>
        <w:gridCol w:w="940"/>
        <w:gridCol w:w="1107"/>
        <w:gridCol w:w="1821"/>
      </w:tblGrid>
      <w:tr w:rsidR="006C7A0A">
        <w:trPr>
          <w:trHeight w:val="315"/>
          <w:jc w:val="center"/>
        </w:trPr>
        <w:tc>
          <w:tcPr>
            <w:tcW w:w="4899" w:type="dxa"/>
            <w:tcBorders>
              <w:top w:val="nil"/>
              <w:left w:val="nil"/>
              <w:bottom w:val="nil"/>
              <w:right w:val="nil"/>
            </w:tcBorders>
            <w:shd w:val="clear" w:color="auto" w:fill="FFFFFF"/>
            <w:vAlign w:val="bottom"/>
          </w:tcPr>
          <w:p w:rsidR="006C7A0A" w:rsidRDefault="006C7A0A">
            <w:pPr>
              <w:spacing w:after="0" w:line="240" w:lineRule="auto"/>
              <w:rPr>
                <w:rFonts w:ascii="Times New Roman" w:eastAsia="Times New Roman" w:hAnsi="Times New Roman"/>
                <w:sz w:val="24"/>
                <w:szCs w:val="24"/>
                <w:lang w:val="en-US" w:eastAsia="cs-CZ"/>
              </w:rPr>
            </w:pPr>
          </w:p>
        </w:tc>
        <w:tc>
          <w:tcPr>
            <w:tcW w:w="940" w:type="dxa"/>
            <w:tcBorders>
              <w:top w:val="single" w:sz="8" w:space="0" w:color="00000A"/>
              <w:left w:val="single" w:sz="8" w:space="0" w:color="00000A"/>
              <w:bottom w:val="nil"/>
              <w:right w:val="single" w:sz="4" w:space="0" w:color="00000A"/>
            </w:tcBorders>
            <w:shd w:val="clear" w:color="auto" w:fill="FFFFFF"/>
            <w:tcMar>
              <w:left w:w="60" w:type="dxa"/>
            </w:tcMar>
            <w:vAlign w:val="bottom"/>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Weight</w:t>
            </w:r>
          </w:p>
        </w:tc>
        <w:tc>
          <w:tcPr>
            <w:tcW w:w="1107" w:type="dxa"/>
            <w:tcBorders>
              <w:top w:val="single" w:sz="8" w:space="0" w:color="00000A"/>
              <w:left w:val="single" w:sz="4" w:space="0" w:color="00000A"/>
              <w:bottom w:val="nil"/>
              <w:right w:val="single" w:sz="4" w:space="0" w:color="00000A"/>
            </w:tcBorders>
            <w:shd w:val="clear" w:color="auto" w:fill="FFFFFF"/>
            <w:tcMar>
              <w:left w:w="65" w:type="dxa"/>
            </w:tcMar>
            <w:vAlign w:val="bottom"/>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Value</w:t>
            </w:r>
          </w:p>
        </w:tc>
        <w:tc>
          <w:tcPr>
            <w:tcW w:w="1821" w:type="dxa"/>
            <w:tcBorders>
              <w:top w:val="single" w:sz="8" w:space="0" w:color="00000A"/>
              <w:left w:val="single" w:sz="4" w:space="0" w:color="00000A"/>
              <w:bottom w:val="nil"/>
              <w:right w:val="single" w:sz="8" w:space="0" w:color="00000A"/>
            </w:tcBorders>
            <w:shd w:val="clear" w:color="auto" w:fill="FFFFFF"/>
            <w:tcMar>
              <w:left w:w="65" w:type="dxa"/>
            </w:tcMar>
            <w:vAlign w:val="bottom"/>
          </w:tcPr>
          <w:p w:rsidR="006C7A0A" w:rsidRDefault="0022416E">
            <w:pPr>
              <w:spacing w:after="0" w:line="240" w:lineRule="auto"/>
              <w:jc w:val="center"/>
              <w:rPr>
                <w:rFonts w:eastAsia="Times New Roman"/>
                <w:b/>
                <w:bCs/>
                <w:color w:val="000000"/>
                <w:lang w:val="en-US" w:eastAsia="cs-CZ"/>
              </w:rPr>
            </w:pPr>
            <w:r>
              <w:rPr>
                <w:rFonts w:eastAsia="Times New Roman"/>
                <w:b/>
                <w:bCs/>
                <w:color w:val="000000"/>
                <w:lang w:val="en-US" w:eastAsia="cs-CZ"/>
              </w:rPr>
              <w:t>Total</w:t>
            </w:r>
          </w:p>
        </w:tc>
      </w:tr>
      <w:tr w:rsidR="006C7A0A">
        <w:trPr>
          <w:trHeight w:val="315"/>
          <w:jc w:val="center"/>
        </w:trPr>
        <w:tc>
          <w:tcPr>
            <w:tcW w:w="8767" w:type="dxa"/>
            <w:gridSpan w:val="4"/>
            <w:tcBorders>
              <w:top w:val="single" w:sz="8" w:space="0" w:color="00000A"/>
              <w:left w:val="single" w:sz="8" w:space="0" w:color="00000A"/>
              <w:bottom w:val="single" w:sz="8" w:space="0" w:color="00000A"/>
              <w:right w:val="single" w:sz="8" w:space="0" w:color="000001"/>
            </w:tcBorders>
            <w:shd w:val="clear" w:color="auto" w:fill="FFFFFF"/>
            <w:tcMar>
              <w:left w:w="60" w:type="dxa"/>
            </w:tcMar>
            <w:vAlign w:val="bottom"/>
          </w:tcPr>
          <w:p w:rsidR="006C7A0A" w:rsidRDefault="0022416E">
            <w:pPr>
              <w:spacing w:after="0" w:line="240" w:lineRule="auto"/>
              <w:rPr>
                <w:rFonts w:eastAsia="Times New Roman"/>
                <w:b/>
                <w:bCs/>
                <w:color w:val="000000"/>
                <w:lang w:val="en-US" w:eastAsia="cs-CZ"/>
              </w:rPr>
            </w:pPr>
            <w:r>
              <w:rPr>
                <w:rFonts w:eastAsia="Times New Roman"/>
                <w:b/>
                <w:bCs/>
                <w:color w:val="000000"/>
                <w:lang w:val="en-US" w:eastAsia="cs-CZ"/>
              </w:rPr>
              <w:t>Strengths</w:t>
            </w:r>
          </w:p>
        </w:tc>
      </w:tr>
      <w:tr w:rsidR="006C7A0A">
        <w:trPr>
          <w:trHeight w:val="315"/>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Unified information base</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0,1</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3</w:t>
            </w:r>
          </w:p>
        </w:tc>
        <w:tc>
          <w:tcPr>
            <w:tcW w:w="1821" w:type="dxa"/>
            <w:tcBorders>
              <w:top w:val="nil"/>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0,3</w:t>
            </w:r>
          </w:p>
        </w:tc>
      </w:tr>
      <w:tr w:rsidR="006C7A0A">
        <w:trPr>
          <w:trHeight w:val="300"/>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Easy-to-handle data</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0,15</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4</w:t>
            </w:r>
          </w:p>
        </w:tc>
        <w:tc>
          <w:tcPr>
            <w:tcW w:w="1821" w:type="dxa"/>
            <w:tcBorders>
              <w:top w:val="nil"/>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0,6</w:t>
            </w:r>
          </w:p>
        </w:tc>
      </w:tr>
      <w:tr w:rsidR="006C7A0A">
        <w:trPr>
          <w:trHeight w:val="315"/>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Real-time data view</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0,25</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5</w:t>
            </w:r>
          </w:p>
        </w:tc>
        <w:tc>
          <w:tcPr>
            <w:tcW w:w="1821" w:type="dxa"/>
            <w:tcBorders>
              <w:top w:val="nil"/>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1,25</w:t>
            </w:r>
          </w:p>
        </w:tc>
      </w:tr>
      <w:tr w:rsidR="006C7A0A">
        <w:trPr>
          <w:trHeight w:val="315"/>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Analysis making and evaluating</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0,2</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5</w:t>
            </w:r>
          </w:p>
        </w:tc>
        <w:tc>
          <w:tcPr>
            <w:tcW w:w="1821" w:type="dxa"/>
            <w:tcBorders>
              <w:top w:val="nil"/>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1</w:t>
            </w:r>
          </w:p>
        </w:tc>
      </w:tr>
      <w:tr w:rsidR="006C7A0A">
        <w:trPr>
          <w:trHeight w:val="300"/>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Improving work efficiency - reducing costs</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0,15</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3</w:t>
            </w:r>
          </w:p>
        </w:tc>
        <w:tc>
          <w:tcPr>
            <w:tcW w:w="1821" w:type="dxa"/>
            <w:tcBorders>
              <w:top w:val="nil"/>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0,45</w:t>
            </w:r>
          </w:p>
        </w:tc>
      </w:tr>
      <w:tr w:rsidR="006C7A0A">
        <w:trPr>
          <w:trHeight w:val="315"/>
          <w:jc w:val="center"/>
        </w:trPr>
        <w:tc>
          <w:tcPr>
            <w:tcW w:w="4899" w:type="dxa"/>
            <w:tcBorders>
              <w:top w:val="nil"/>
              <w:left w:val="single" w:sz="8" w:space="0" w:color="00000A"/>
              <w:bottom w:val="nil"/>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Reducing the number of component failures</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0,15</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3</w:t>
            </w:r>
          </w:p>
        </w:tc>
        <w:tc>
          <w:tcPr>
            <w:tcW w:w="1821" w:type="dxa"/>
            <w:tcBorders>
              <w:top w:val="nil"/>
              <w:left w:val="single" w:sz="4" w:space="0" w:color="00000A"/>
              <w:bottom w:val="single" w:sz="12"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0,45</w:t>
            </w:r>
          </w:p>
        </w:tc>
      </w:tr>
      <w:tr w:rsidR="006C7A0A">
        <w:trPr>
          <w:trHeight w:val="315"/>
          <w:jc w:val="center"/>
        </w:trPr>
        <w:tc>
          <w:tcPr>
            <w:tcW w:w="4899" w:type="dxa"/>
            <w:tcBorders>
              <w:top w:val="single" w:sz="4" w:space="0" w:color="00000A"/>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i/>
                <w:iCs/>
                <w:color w:val="000000"/>
                <w:lang w:val="en-US" w:eastAsia="cs-CZ"/>
              </w:rPr>
            </w:pPr>
            <w:r>
              <w:rPr>
                <w:rFonts w:eastAsia="Times New Roman"/>
                <w:i/>
                <w:iCs/>
                <w:color w:val="000000"/>
                <w:lang w:val="en-US" w:eastAsia="cs-CZ"/>
              </w:rPr>
              <w:t>Total</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1</w:t>
            </w:r>
          </w:p>
        </w:tc>
        <w:tc>
          <w:tcPr>
            <w:tcW w:w="1107" w:type="dxa"/>
            <w:tcBorders>
              <w:top w:val="nil"/>
              <w:left w:val="nil"/>
              <w:bottom w:val="single" w:sz="4" w:space="0" w:color="00000A"/>
              <w:right w:val="single" w:sz="12" w:space="0" w:color="00000A"/>
            </w:tcBorders>
            <w:shd w:val="clear" w:color="auto" w:fill="FFFFFF"/>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 </w:t>
            </w:r>
          </w:p>
        </w:tc>
        <w:tc>
          <w:tcPr>
            <w:tcW w:w="1821" w:type="dxa"/>
            <w:tcBorders>
              <w:top w:val="single" w:sz="12" w:space="0" w:color="00000A"/>
              <w:left w:val="single" w:sz="12" w:space="0" w:color="00000A"/>
              <w:bottom w:val="single" w:sz="12" w:space="0" w:color="00000A"/>
              <w:right w:val="single" w:sz="12" w:space="0" w:color="00000A"/>
            </w:tcBorders>
            <w:shd w:val="clear" w:color="auto" w:fill="FFFFFF"/>
            <w:tcMar>
              <w:left w:w="55" w:type="dxa"/>
            </w:tcMar>
            <w:vAlign w:val="bottom"/>
          </w:tcPr>
          <w:p w:rsidR="006C7A0A" w:rsidRDefault="0022416E">
            <w:pPr>
              <w:spacing w:after="0" w:line="240" w:lineRule="auto"/>
              <w:jc w:val="right"/>
              <w:rPr>
                <w:rFonts w:eastAsia="Times New Roman"/>
                <w:b/>
                <w:bCs/>
                <w:color w:val="000000"/>
                <w:lang w:val="en-US" w:eastAsia="cs-CZ"/>
              </w:rPr>
            </w:pPr>
            <w:r>
              <w:rPr>
                <w:rFonts w:eastAsia="Times New Roman"/>
                <w:b/>
                <w:bCs/>
                <w:color w:val="000000"/>
                <w:lang w:val="en-US" w:eastAsia="cs-CZ"/>
              </w:rPr>
              <w:t>4,05</w:t>
            </w:r>
          </w:p>
        </w:tc>
      </w:tr>
      <w:tr w:rsidR="006C7A0A">
        <w:trPr>
          <w:trHeight w:val="315"/>
          <w:jc w:val="center"/>
        </w:trPr>
        <w:tc>
          <w:tcPr>
            <w:tcW w:w="8767" w:type="dxa"/>
            <w:gridSpan w:val="4"/>
            <w:tcBorders>
              <w:top w:val="single" w:sz="8" w:space="0" w:color="00000A"/>
              <w:left w:val="single" w:sz="8" w:space="0" w:color="00000A"/>
              <w:bottom w:val="nil"/>
              <w:right w:val="single" w:sz="8" w:space="0" w:color="000001"/>
            </w:tcBorders>
            <w:shd w:val="clear" w:color="auto" w:fill="FFFFFF"/>
            <w:tcMar>
              <w:left w:w="60" w:type="dxa"/>
            </w:tcMar>
            <w:vAlign w:val="bottom"/>
          </w:tcPr>
          <w:p w:rsidR="006C7A0A" w:rsidRDefault="0022416E">
            <w:pPr>
              <w:spacing w:after="0" w:line="240" w:lineRule="auto"/>
              <w:rPr>
                <w:rFonts w:eastAsia="Times New Roman"/>
                <w:b/>
                <w:bCs/>
                <w:color w:val="000000"/>
                <w:lang w:val="en-US" w:eastAsia="cs-CZ"/>
              </w:rPr>
            </w:pPr>
            <w:r>
              <w:rPr>
                <w:rFonts w:eastAsia="Times New Roman"/>
                <w:b/>
                <w:bCs/>
                <w:color w:val="000000"/>
                <w:lang w:val="en-US" w:eastAsia="cs-CZ"/>
              </w:rPr>
              <w:t>Weaknesses</w:t>
            </w:r>
          </w:p>
        </w:tc>
      </w:tr>
      <w:tr w:rsidR="006C7A0A">
        <w:trPr>
          <w:trHeight w:val="300"/>
          <w:jc w:val="center"/>
        </w:trPr>
        <w:tc>
          <w:tcPr>
            <w:tcW w:w="4899" w:type="dxa"/>
            <w:tcBorders>
              <w:top w:val="single" w:sz="8" w:space="0" w:color="00000A"/>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Lack of input data during system implementation</w:t>
            </w:r>
          </w:p>
        </w:tc>
        <w:tc>
          <w:tcPr>
            <w:tcW w:w="940" w:type="dxa"/>
            <w:tcBorders>
              <w:top w:val="single" w:sz="8" w:space="0" w:color="00000A"/>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0,5</w:t>
            </w:r>
          </w:p>
        </w:tc>
        <w:tc>
          <w:tcPr>
            <w:tcW w:w="1107" w:type="dxa"/>
            <w:tcBorders>
              <w:top w:val="single" w:sz="8" w:space="0" w:color="00000A"/>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-4</w:t>
            </w:r>
          </w:p>
        </w:tc>
        <w:tc>
          <w:tcPr>
            <w:tcW w:w="1821" w:type="dxa"/>
            <w:tcBorders>
              <w:top w:val="single" w:sz="8" w:space="0" w:color="00000A"/>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-2</w:t>
            </w:r>
          </w:p>
        </w:tc>
      </w:tr>
      <w:tr w:rsidR="006C7A0A">
        <w:trPr>
          <w:trHeight w:val="300"/>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Absence of BIM experts</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0,3</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-4</w:t>
            </w:r>
          </w:p>
        </w:tc>
        <w:tc>
          <w:tcPr>
            <w:tcW w:w="1821" w:type="dxa"/>
            <w:tcBorders>
              <w:top w:val="nil"/>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-1,2</w:t>
            </w:r>
          </w:p>
        </w:tc>
      </w:tr>
      <w:tr w:rsidR="006C7A0A">
        <w:trPr>
          <w:trHeight w:val="315"/>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 xml:space="preserve">Higher incoming </w:t>
            </w:r>
            <w:proofErr w:type="spellStart"/>
            <w:r>
              <w:rPr>
                <w:rFonts w:eastAsia="Times New Roman"/>
                <w:color w:val="000000"/>
                <w:lang w:val="en-US" w:eastAsia="cs-CZ"/>
              </w:rPr>
              <w:t>investements</w:t>
            </w:r>
            <w:proofErr w:type="spellEnd"/>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0,2</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-3</w:t>
            </w:r>
          </w:p>
        </w:tc>
        <w:tc>
          <w:tcPr>
            <w:tcW w:w="1821" w:type="dxa"/>
            <w:tcBorders>
              <w:top w:val="nil"/>
              <w:left w:val="single" w:sz="4" w:space="0" w:color="00000A"/>
              <w:bottom w:val="single" w:sz="12"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-0,6</w:t>
            </w:r>
          </w:p>
        </w:tc>
      </w:tr>
      <w:tr w:rsidR="006C7A0A">
        <w:trPr>
          <w:trHeight w:val="315"/>
          <w:jc w:val="center"/>
        </w:trPr>
        <w:tc>
          <w:tcPr>
            <w:tcW w:w="4899" w:type="dxa"/>
            <w:tcBorders>
              <w:top w:val="nil"/>
              <w:left w:val="single" w:sz="8" w:space="0" w:color="00000A"/>
              <w:bottom w:val="single" w:sz="8"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i/>
                <w:iCs/>
                <w:color w:val="000000"/>
                <w:lang w:val="en-US" w:eastAsia="cs-CZ"/>
              </w:rPr>
            </w:pPr>
            <w:r>
              <w:rPr>
                <w:rFonts w:eastAsia="Times New Roman"/>
                <w:i/>
                <w:iCs/>
                <w:color w:val="000000"/>
                <w:lang w:val="en-US" w:eastAsia="cs-CZ"/>
              </w:rPr>
              <w:t>Total</w:t>
            </w:r>
          </w:p>
        </w:tc>
        <w:tc>
          <w:tcPr>
            <w:tcW w:w="940" w:type="dxa"/>
            <w:tcBorders>
              <w:top w:val="nil"/>
              <w:left w:val="single" w:sz="4" w:space="0" w:color="00000A"/>
              <w:bottom w:val="single" w:sz="8"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1</w:t>
            </w:r>
          </w:p>
        </w:tc>
        <w:tc>
          <w:tcPr>
            <w:tcW w:w="1107" w:type="dxa"/>
            <w:tcBorders>
              <w:top w:val="nil"/>
              <w:left w:val="nil"/>
              <w:bottom w:val="single" w:sz="8" w:space="0" w:color="00000A"/>
              <w:right w:val="single" w:sz="12" w:space="0" w:color="00000A"/>
            </w:tcBorders>
            <w:shd w:val="clear" w:color="auto" w:fill="FFFFFF"/>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 </w:t>
            </w:r>
          </w:p>
        </w:tc>
        <w:tc>
          <w:tcPr>
            <w:tcW w:w="1821" w:type="dxa"/>
            <w:tcBorders>
              <w:top w:val="single" w:sz="12" w:space="0" w:color="00000A"/>
              <w:left w:val="single" w:sz="12" w:space="0" w:color="00000A"/>
              <w:bottom w:val="single" w:sz="12" w:space="0" w:color="00000A"/>
              <w:right w:val="single" w:sz="12" w:space="0" w:color="00000A"/>
            </w:tcBorders>
            <w:shd w:val="clear" w:color="auto" w:fill="FFFFFF"/>
            <w:tcMar>
              <w:left w:w="55" w:type="dxa"/>
            </w:tcMar>
            <w:vAlign w:val="bottom"/>
          </w:tcPr>
          <w:p w:rsidR="006C7A0A" w:rsidRDefault="0022416E">
            <w:pPr>
              <w:spacing w:after="0" w:line="240" w:lineRule="auto"/>
              <w:jc w:val="right"/>
              <w:rPr>
                <w:rFonts w:eastAsia="Times New Roman"/>
                <w:b/>
                <w:bCs/>
                <w:color w:val="000000"/>
                <w:lang w:val="en-US" w:eastAsia="cs-CZ"/>
              </w:rPr>
            </w:pPr>
            <w:r>
              <w:rPr>
                <w:rFonts w:eastAsia="Times New Roman"/>
                <w:b/>
                <w:bCs/>
                <w:color w:val="000000"/>
                <w:lang w:val="en-US" w:eastAsia="cs-CZ"/>
              </w:rPr>
              <w:t>-3,8</w:t>
            </w:r>
          </w:p>
        </w:tc>
      </w:tr>
      <w:tr w:rsidR="006C7A0A">
        <w:trPr>
          <w:trHeight w:val="315"/>
          <w:jc w:val="center"/>
        </w:trPr>
        <w:tc>
          <w:tcPr>
            <w:tcW w:w="8767" w:type="dxa"/>
            <w:gridSpan w:val="4"/>
            <w:tcBorders>
              <w:top w:val="single" w:sz="8" w:space="0" w:color="00000A"/>
              <w:left w:val="single" w:sz="8" w:space="0" w:color="00000A"/>
              <w:bottom w:val="single" w:sz="8" w:space="0" w:color="00000A"/>
              <w:right w:val="single" w:sz="8" w:space="0" w:color="000001"/>
            </w:tcBorders>
            <w:shd w:val="clear" w:color="auto" w:fill="FFFFFF"/>
            <w:tcMar>
              <w:left w:w="60" w:type="dxa"/>
            </w:tcMar>
            <w:vAlign w:val="bottom"/>
          </w:tcPr>
          <w:p w:rsidR="006C7A0A" w:rsidRDefault="0022416E">
            <w:pPr>
              <w:spacing w:after="0" w:line="240" w:lineRule="auto"/>
              <w:rPr>
                <w:rFonts w:eastAsia="Times New Roman"/>
                <w:b/>
                <w:bCs/>
                <w:color w:val="000000"/>
                <w:lang w:val="en-US" w:eastAsia="cs-CZ"/>
              </w:rPr>
            </w:pPr>
            <w:r>
              <w:rPr>
                <w:rFonts w:eastAsia="Times New Roman"/>
                <w:b/>
                <w:bCs/>
                <w:color w:val="000000"/>
                <w:lang w:val="en-US" w:eastAsia="cs-CZ"/>
              </w:rPr>
              <w:t>Opportunities</w:t>
            </w:r>
          </w:p>
        </w:tc>
      </w:tr>
      <w:tr w:rsidR="006C7A0A">
        <w:trPr>
          <w:trHeight w:val="300"/>
          <w:jc w:val="center"/>
        </w:trPr>
        <w:tc>
          <w:tcPr>
            <w:tcW w:w="4899" w:type="dxa"/>
            <w:tcBorders>
              <w:top w:val="single" w:sz="8" w:space="0" w:color="00000A"/>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Evolving field, sharing outcomes</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0,1</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3</w:t>
            </w:r>
          </w:p>
        </w:tc>
        <w:tc>
          <w:tcPr>
            <w:tcW w:w="1821" w:type="dxa"/>
            <w:tcBorders>
              <w:top w:val="single" w:sz="8" w:space="0" w:color="00000A"/>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0,3</w:t>
            </w:r>
          </w:p>
        </w:tc>
      </w:tr>
      <w:tr w:rsidR="006C7A0A">
        <w:trPr>
          <w:trHeight w:val="300"/>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Possibility to react fast to energy price changes</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0,4</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5</w:t>
            </w:r>
          </w:p>
        </w:tc>
        <w:tc>
          <w:tcPr>
            <w:tcW w:w="1821" w:type="dxa"/>
            <w:tcBorders>
              <w:top w:val="nil"/>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2</w:t>
            </w:r>
          </w:p>
        </w:tc>
      </w:tr>
      <w:tr w:rsidR="006C7A0A">
        <w:trPr>
          <w:trHeight w:val="300"/>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Data standardization</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0,1</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3</w:t>
            </w:r>
          </w:p>
        </w:tc>
        <w:tc>
          <w:tcPr>
            <w:tcW w:w="1821" w:type="dxa"/>
            <w:tcBorders>
              <w:top w:val="nil"/>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0,3</w:t>
            </w:r>
          </w:p>
        </w:tc>
      </w:tr>
      <w:tr w:rsidR="006C7A0A">
        <w:trPr>
          <w:trHeight w:val="315"/>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Reducing life cycle costs</w:t>
            </w:r>
          </w:p>
        </w:tc>
        <w:tc>
          <w:tcPr>
            <w:tcW w:w="940" w:type="dxa"/>
            <w:tcBorders>
              <w:top w:val="nil"/>
              <w:left w:val="single" w:sz="4" w:space="0" w:color="00000A"/>
              <w:bottom w:val="single" w:sz="4"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0,4</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5</w:t>
            </w:r>
          </w:p>
        </w:tc>
        <w:tc>
          <w:tcPr>
            <w:tcW w:w="1821" w:type="dxa"/>
            <w:tcBorders>
              <w:top w:val="nil"/>
              <w:left w:val="single" w:sz="4" w:space="0" w:color="00000A"/>
              <w:bottom w:val="single" w:sz="12"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2</w:t>
            </w:r>
          </w:p>
        </w:tc>
      </w:tr>
      <w:tr w:rsidR="006C7A0A">
        <w:trPr>
          <w:trHeight w:val="315"/>
          <w:jc w:val="center"/>
        </w:trPr>
        <w:tc>
          <w:tcPr>
            <w:tcW w:w="4899" w:type="dxa"/>
            <w:tcBorders>
              <w:top w:val="nil"/>
              <w:left w:val="single" w:sz="8" w:space="0" w:color="00000A"/>
              <w:bottom w:val="single" w:sz="8"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i/>
                <w:iCs/>
                <w:color w:val="000000"/>
                <w:lang w:val="en-US" w:eastAsia="cs-CZ"/>
              </w:rPr>
            </w:pPr>
            <w:r>
              <w:rPr>
                <w:rFonts w:eastAsia="Times New Roman"/>
                <w:i/>
                <w:iCs/>
                <w:color w:val="000000"/>
                <w:lang w:val="en-US" w:eastAsia="cs-CZ"/>
              </w:rPr>
              <w:t>Total</w:t>
            </w:r>
          </w:p>
        </w:tc>
        <w:tc>
          <w:tcPr>
            <w:tcW w:w="940" w:type="dxa"/>
            <w:tcBorders>
              <w:top w:val="nil"/>
              <w:left w:val="single" w:sz="4" w:space="0" w:color="00000A"/>
              <w:bottom w:val="single" w:sz="8"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1</w:t>
            </w:r>
          </w:p>
        </w:tc>
        <w:tc>
          <w:tcPr>
            <w:tcW w:w="1107" w:type="dxa"/>
            <w:tcBorders>
              <w:top w:val="nil"/>
              <w:left w:val="nil"/>
              <w:bottom w:val="single" w:sz="8" w:space="0" w:color="00000A"/>
              <w:right w:val="single" w:sz="12" w:space="0" w:color="00000A"/>
            </w:tcBorders>
            <w:shd w:val="clear" w:color="auto" w:fill="FFFFFF"/>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 </w:t>
            </w:r>
          </w:p>
        </w:tc>
        <w:tc>
          <w:tcPr>
            <w:tcW w:w="1821" w:type="dxa"/>
            <w:tcBorders>
              <w:top w:val="single" w:sz="12" w:space="0" w:color="00000A"/>
              <w:left w:val="single" w:sz="12" w:space="0" w:color="00000A"/>
              <w:bottom w:val="single" w:sz="12" w:space="0" w:color="00000A"/>
              <w:right w:val="single" w:sz="12" w:space="0" w:color="00000A"/>
            </w:tcBorders>
            <w:shd w:val="clear" w:color="auto" w:fill="FFFFFF"/>
            <w:tcMar>
              <w:left w:w="55" w:type="dxa"/>
            </w:tcMar>
            <w:vAlign w:val="bottom"/>
          </w:tcPr>
          <w:p w:rsidR="006C7A0A" w:rsidRDefault="0022416E">
            <w:pPr>
              <w:spacing w:after="0" w:line="240" w:lineRule="auto"/>
              <w:jc w:val="right"/>
              <w:rPr>
                <w:rFonts w:eastAsia="Times New Roman"/>
                <w:b/>
                <w:bCs/>
                <w:color w:val="000000"/>
                <w:lang w:val="en-US" w:eastAsia="cs-CZ"/>
              </w:rPr>
            </w:pPr>
            <w:r>
              <w:rPr>
                <w:rFonts w:eastAsia="Times New Roman"/>
                <w:b/>
                <w:bCs/>
                <w:color w:val="000000"/>
                <w:lang w:val="en-US" w:eastAsia="cs-CZ"/>
              </w:rPr>
              <w:t>4,6</w:t>
            </w:r>
          </w:p>
        </w:tc>
      </w:tr>
      <w:tr w:rsidR="006C7A0A">
        <w:trPr>
          <w:trHeight w:val="315"/>
          <w:jc w:val="center"/>
        </w:trPr>
        <w:tc>
          <w:tcPr>
            <w:tcW w:w="8767" w:type="dxa"/>
            <w:gridSpan w:val="4"/>
            <w:tcBorders>
              <w:top w:val="single" w:sz="8" w:space="0" w:color="00000A"/>
              <w:left w:val="single" w:sz="8" w:space="0" w:color="00000A"/>
              <w:bottom w:val="nil"/>
              <w:right w:val="single" w:sz="8" w:space="0" w:color="000001"/>
            </w:tcBorders>
            <w:shd w:val="clear" w:color="auto" w:fill="FFFFFF"/>
            <w:tcMar>
              <w:left w:w="60" w:type="dxa"/>
            </w:tcMar>
            <w:vAlign w:val="bottom"/>
          </w:tcPr>
          <w:p w:rsidR="006C7A0A" w:rsidRDefault="0022416E">
            <w:pPr>
              <w:spacing w:after="0" w:line="240" w:lineRule="auto"/>
              <w:rPr>
                <w:rFonts w:eastAsia="Times New Roman"/>
                <w:b/>
                <w:bCs/>
                <w:color w:val="000000"/>
                <w:lang w:val="en-US" w:eastAsia="cs-CZ"/>
              </w:rPr>
            </w:pPr>
            <w:r>
              <w:rPr>
                <w:rFonts w:eastAsia="Times New Roman"/>
                <w:b/>
                <w:bCs/>
                <w:color w:val="000000"/>
                <w:lang w:val="en-US" w:eastAsia="cs-CZ"/>
              </w:rPr>
              <w:lastRenderedPageBreak/>
              <w:t>Threats</w:t>
            </w:r>
          </w:p>
        </w:tc>
      </w:tr>
      <w:tr w:rsidR="006C7A0A">
        <w:trPr>
          <w:trHeight w:val="300"/>
          <w:jc w:val="center"/>
        </w:trPr>
        <w:tc>
          <w:tcPr>
            <w:tcW w:w="4899" w:type="dxa"/>
            <w:tcBorders>
              <w:top w:val="single" w:sz="8" w:space="0" w:color="00000A"/>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Changes in legislation</w:t>
            </w:r>
          </w:p>
        </w:tc>
        <w:tc>
          <w:tcPr>
            <w:tcW w:w="940" w:type="dxa"/>
            <w:tcBorders>
              <w:top w:val="single" w:sz="8" w:space="0" w:color="00000A"/>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0,1</w:t>
            </w:r>
          </w:p>
        </w:tc>
        <w:tc>
          <w:tcPr>
            <w:tcW w:w="1107" w:type="dxa"/>
            <w:tcBorders>
              <w:top w:val="single" w:sz="8" w:space="0" w:color="00000A"/>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-2</w:t>
            </w:r>
          </w:p>
        </w:tc>
        <w:tc>
          <w:tcPr>
            <w:tcW w:w="1821" w:type="dxa"/>
            <w:tcBorders>
              <w:top w:val="single" w:sz="8" w:space="0" w:color="00000A"/>
              <w:left w:val="single" w:sz="4" w:space="0" w:color="00000A"/>
              <w:bottom w:val="single" w:sz="4"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-0,2</w:t>
            </w:r>
          </w:p>
        </w:tc>
      </w:tr>
      <w:tr w:rsidR="006C7A0A">
        <w:trPr>
          <w:trHeight w:val="315"/>
          <w:jc w:val="center"/>
        </w:trPr>
        <w:tc>
          <w:tcPr>
            <w:tcW w:w="4899" w:type="dxa"/>
            <w:tcBorders>
              <w:top w:val="nil"/>
              <w:left w:val="single" w:sz="8" w:space="0" w:color="00000A"/>
              <w:bottom w:val="single" w:sz="4"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Unwillingness of contractors to use BIM</w:t>
            </w:r>
          </w:p>
        </w:tc>
        <w:tc>
          <w:tcPr>
            <w:tcW w:w="940"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0,9</w:t>
            </w:r>
          </w:p>
        </w:tc>
        <w:tc>
          <w:tcPr>
            <w:tcW w:w="1107" w:type="dxa"/>
            <w:tcBorders>
              <w:top w:val="nil"/>
              <w:left w:val="nil"/>
              <w:bottom w:val="single" w:sz="4" w:space="0" w:color="00000A"/>
              <w:right w:val="single" w:sz="4" w:space="0" w:color="00000A"/>
            </w:tcBorders>
            <w:shd w:val="clear" w:color="auto" w:fill="FFFFFF"/>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-5</w:t>
            </w:r>
          </w:p>
        </w:tc>
        <w:tc>
          <w:tcPr>
            <w:tcW w:w="1821" w:type="dxa"/>
            <w:tcBorders>
              <w:top w:val="nil"/>
              <w:left w:val="single" w:sz="4" w:space="0" w:color="00000A"/>
              <w:bottom w:val="single" w:sz="12" w:space="0" w:color="00000A"/>
              <w:right w:val="single" w:sz="8"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-4,5</w:t>
            </w:r>
          </w:p>
        </w:tc>
      </w:tr>
      <w:tr w:rsidR="006C7A0A">
        <w:trPr>
          <w:trHeight w:val="315"/>
          <w:jc w:val="center"/>
        </w:trPr>
        <w:tc>
          <w:tcPr>
            <w:tcW w:w="4899" w:type="dxa"/>
            <w:tcBorders>
              <w:top w:val="nil"/>
              <w:left w:val="single" w:sz="8" w:space="0" w:color="00000A"/>
              <w:bottom w:val="single" w:sz="8" w:space="0" w:color="00000A"/>
              <w:right w:val="single" w:sz="4" w:space="0" w:color="00000A"/>
            </w:tcBorders>
            <w:shd w:val="clear" w:color="auto" w:fill="FFFFFF"/>
            <w:tcMar>
              <w:left w:w="60" w:type="dxa"/>
            </w:tcMar>
            <w:vAlign w:val="bottom"/>
          </w:tcPr>
          <w:p w:rsidR="006C7A0A" w:rsidRDefault="0022416E">
            <w:pPr>
              <w:spacing w:after="0" w:line="240" w:lineRule="auto"/>
              <w:rPr>
                <w:rFonts w:eastAsia="Times New Roman"/>
                <w:i/>
                <w:iCs/>
                <w:color w:val="000000"/>
                <w:lang w:val="en-US" w:eastAsia="cs-CZ"/>
              </w:rPr>
            </w:pPr>
            <w:r>
              <w:rPr>
                <w:rFonts w:eastAsia="Times New Roman"/>
                <w:i/>
                <w:iCs/>
                <w:color w:val="000000"/>
                <w:lang w:val="en-US" w:eastAsia="cs-CZ"/>
              </w:rPr>
              <w:t>Total</w:t>
            </w:r>
          </w:p>
        </w:tc>
        <w:tc>
          <w:tcPr>
            <w:tcW w:w="940" w:type="dxa"/>
            <w:tcBorders>
              <w:top w:val="nil"/>
              <w:left w:val="single" w:sz="4" w:space="0" w:color="00000A"/>
              <w:bottom w:val="single" w:sz="8" w:space="0" w:color="00000A"/>
              <w:right w:val="single" w:sz="4" w:space="0" w:color="00000A"/>
            </w:tcBorders>
            <w:shd w:val="clear" w:color="auto" w:fill="FFFFFF"/>
            <w:tcMar>
              <w:left w:w="65" w:type="dxa"/>
            </w:tcMar>
            <w:vAlign w:val="bottom"/>
          </w:tcPr>
          <w:p w:rsidR="006C7A0A" w:rsidRDefault="0022416E">
            <w:pPr>
              <w:spacing w:after="0" w:line="240" w:lineRule="auto"/>
              <w:jc w:val="right"/>
              <w:rPr>
                <w:rFonts w:eastAsia="Times New Roman"/>
                <w:color w:val="000000"/>
                <w:lang w:val="en-US" w:eastAsia="cs-CZ"/>
              </w:rPr>
            </w:pPr>
            <w:r>
              <w:rPr>
                <w:rFonts w:eastAsia="Times New Roman"/>
                <w:color w:val="000000"/>
                <w:lang w:val="en-US" w:eastAsia="cs-CZ"/>
              </w:rPr>
              <w:t>1</w:t>
            </w:r>
          </w:p>
        </w:tc>
        <w:tc>
          <w:tcPr>
            <w:tcW w:w="1107" w:type="dxa"/>
            <w:tcBorders>
              <w:top w:val="nil"/>
              <w:left w:val="nil"/>
              <w:bottom w:val="single" w:sz="8" w:space="0" w:color="00000A"/>
              <w:right w:val="single" w:sz="12" w:space="0" w:color="00000A"/>
            </w:tcBorders>
            <w:shd w:val="clear" w:color="auto" w:fill="FFFFFF"/>
            <w:vAlign w:val="bottom"/>
          </w:tcPr>
          <w:p w:rsidR="006C7A0A" w:rsidRDefault="0022416E">
            <w:pPr>
              <w:spacing w:after="0" w:line="240" w:lineRule="auto"/>
              <w:rPr>
                <w:rFonts w:eastAsia="Times New Roman"/>
                <w:color w:val="000000"/>
                <w:lang w:val="en-US" w:eastAsia="cs-CZ"/>
              </w:rPr>
            </w:pPr>
            <w:r>
              <w:rPr>
                <w:rFonts w:eastAsia="Times New Roman"/>
                <w:color w:val="000000"/>
                <w:lang w:val="en-US" w:eastAsia="cs-CZ"/>
              </w:rPr>
              <w:t> </w:t>
            </w:r>
          </w:p>
        </w:tc>
        <w:tc>
          <w:tcPr>
            <w:tcW w:w="1821" w:type="dxa"/>
            <w:tcBorders>
              <w:top w:val="single" w:sz="12" w:space="0" w:color="00000A"/>
              <w:left w:val="single" w:sz="12" w:space="0" w:color="00000A"/>
              <w:bottom w:val="single" w:sz="12" w:space="0" w:color="00000A"/>
              <w:right w:val="single" w:sz="12" w:space="0" w:color="00000A"/>
            </w:tcBorders>
            <w:shd w:val="clear" w:color="auto" w:fill="FFFFFF"/>
            <w:tcMar>
              <w:left w:w="55" w:type="dxa"/>
            </w:tcMar>
            <w:vAlign w:val="bottom"/>
          </w:tcPr>
          <w:p w:rsidR="006C7A0A" w:rsidRDefault="0022416E">
            <w:pPr>
              <w:spacing w:after="0" w:line="240" w:lineRule="auto"/>
              <w:jc w:val="right"/>
              <w:rPr>
                <w:rFonts w:eastAsia="Times New Roman"/>
                <w:b/>
                <w:bCs/>
                <w:color w:val="000000"/>
                <w:lang w:val="en-US" w:eastAsia="cs-CZ"/>
              </w:rPr>
            </w:pPr>
            <w:r>
              <w:rPr>
                <w:rFonts w:eastAsia="Times New Roman"/>
                <w:b/>
                <w:bCs/>
                <w:color w:val="000000"/>
                <w:lang w:val="en-US" w:eastAsia="cs-CZ"/>
              </w:rPr>
              <w:t>-4,7</w:t>
            </w:r>
          </w:p>
        </w:tc>
      </w:tr>
    </w:tbl>
    <w:p w:rsidR="006C7A0A" w:rsidRDefault="006C7A0A">
      <w:pPr>
        <w:pStyle w:val="CM-body"/>
        <w:ind w:firstLine="0"/>
      </w:pPr>
    </w:p>
    <w:p w:rsidR="006C7A0A" w:rsidRDefault="0022416E">
      <w:pPr>
        <w:pStyle w:val="CM-heading1"/>
      </w:pPr>
      <w:r>
        <w:t>Results</w:t>
      </w:r>
    </w:p>
    <w:p w:rsidR="006C7A0A" w:rsidRDefault="0022416E">
      <w:pPr>
        <w:pStyle w:val="CM-body"/>
      </w:pPr>
      <w:r>
        <w:t xml:space="preserve">After evaluating each </w:t>
      </w:r>
      <w:proofErr w:type="gramStart"/>
      <w:r>
        <w:t>factor</w:t>
      </w:r>
      <w:proofErr w:type="gramEnd"/>
      <w:r>
        <w:t xml:space="preserve"> itself, the total values were added up for each category and then for internal and external factors. The final values are in Table 3.</w:t>
      </w:r>
    </w:p>
    <w:p w:rsidR="006C7A0A" w:rsidRDefault="006C7A0A">
      <w:pPr>
        <w:pStyle w:val="CM-body"/>
      </w:pPr>
    </w:p>
    <w:p w:rsidR="006C7A0A" w:rsidRDefault="0022416E">
      <w:pPr>
        <w:pStyle w:val="Titulek"/>
        <w:keepNext/>
        <w:rPr>
          <w:b/>
          <w:i w:val="0"/>
          <w:color w:val="00000A"/>
          <w:lang w:val="en-US"/>
        </w:rPr>
      </w:pPr>
      <w:r>
        <w:rPr>
          <w:b/>
          <w:i w:val="0"/>
          <w:color w:val="00000A"/>
          <w:lang w:val="en-US"/>
        </w:rPr>
        <w:t xml:space="preserve">Table </w:t>
      </w:r>
      <w:r>
        <w:rPr>
          <w:b/>
          <w:i w:val="0"/>
          <w:color w:val="00000A"/>
          <w:lang w:val="en-US"/>
        </w:rPr>
        <w:fldChar w:fldCharType="begin"/>
      </w:r>
      <w:r>
        <w:instrText>SEQ "Tabulka" \*Arabic</w:instrText>
      </w:r>
      <w:r>
        <w:fldChar w:fldCharType="separate"/>
      </w:r>
      <w:r>
        <w:t>3</w:t>
      </w:r>
      <w:r>
        <w:fldChar w:fldCharType="end"/>
      </w:r>
      <w:r>
        <w:rPr>
          <w:b/>
          <w:i w:val="0"/>
          <w:color w:val="00000A"/>
          <w:lang w:val="en-US"/>
        </w:rPr>
        <w:t xml:space="preserve"> - Final values of SWOT analysis (source: authors)</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227"/>
        <w:gridCol w:w="3039"/>
      </w:tblGrid>
      <w:tr w:rsidR="006C7A0A">
        <w:trPr>
          <w:trHeight w:val="204"/>
          <w:jc w:val="center"/>
        </w:trPr>
        <w:tc>
          <w:tcPr>
            <w:tcW w:w="222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6C7A0A" w:rsidRDefault="0022416E">
            <w:pPr>
              <w:rPr>
                <w:bCs/>
                <w:color w:val="000000"/>
                <w:lang w:val="en-US"/>
              </w:rPr>
            </w:pPr>
            <w:r>
              <w:rPr>
                <w:bCs/>
                <w:color w:val="000000"/>
                <w:lang w:val="en-US"/>
              </w:rPr>
              <w:t>Internal factors</w:t>
            </w:r>
          </w:p>
        </w:tc>
        <w:tc>
          <w:tcPr>
            <w:tcW w:w="3039"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6C7A0A" w:rsidRDefault="0022416E">
            <w:pPr>
              <w:jc w:val="right"/>
              <w:rPr>
                <w:bCs/>
                <w:color w:val="000000"/>
                <w:lang w:val="en-US"/>
              </w:rPr>
            </w:pPr>
            <w:r>
              <w:rPr>
                <w:bCs/>
                <w:color w:val="000000"/>
                <w:lang w:val="en-US"/>
              </w:rPr>
              <w:t>4,05 + (-3,8) = 0,25</w:t>
            </w:r>
          </w:p>
        </w:tc>
      </w:tr>
      <w:tr w:rsidR="006C7A0A">
        <w:trPr>
          <w:trHeight w:val="214"/>
          <w:jc w:val="center"/>
        </w:trPr>
        <w:tc>
          <w:tcPr>
            <w:tcW w:w="2227" w:type="dxa"/>
            <w:tcBorders>
              <w:top w:val="single" w:sz="4" w:space="0" w:color="00000A"/>
              <w:left w:val="single" w:sz="4" w:space="0" w:color="00000A"/>
              <w:bottom w:val="single" w:sz="12" w:space="0" w:color="00000A"/>
              <w:right w:val="single" w:sz="4" w:space="0" w:color="00000A"/>
            </w:tcBorders>
            <w:shd w:val="clear" w:color="auto" w:fill="FFFFFF"/>
            <w:tcMar>
              <w:left w:w="70" w:type="dxa"/>
            </w:tcMar>
            <w:vAlign w:val="center"/>
          </w:tcPr>
          <w:p w:rsidR="006C7A0A" w:rsidRDefault="0022416E">
            <w:pPr>
              <w:rPr>
                <w:bCs/>
                <w:color w:val="000000"/>
                <w:lang w:val="en-US"/>
              </w:rPr>
            </w:pPr>
            <w:r>
              <w:rPr>
                <w:bCs/>
                <w:color w:val="000000"/>
                <w:lang w:val="en-US"/>
              </w:rPr>
              <w:t>External factors</w:t>
            </w:r>
          </w:p>
        </w:tc>
        <w:tc>
          <w:tcPr>
            <w:tcW w:w="3039" w:type="dxa"/>
            <w:tcBorders>
              <w:top w:val="single" w:sz="4" w:space="0" w:color="00000A"/>
              <w:left w:val="single" w:sz="4" w:space="0" w:color="00000A"/>
              <w:bottom w:val="single" w:sz="12" w:space="0" w:color="00000A"/>
              <w:right w:val="single" w:sz="4" w:space="0" w:color="00000A"/>
            </w:tcBorders>
            <w:shd w:val="clear" w:color="auto" w:fill="FFFFFF"/>
            <w:tcMar>
              <w:left w:w="70" w:type="dxa"/>
            </w:tcMar>
            <w:vAlign w:val="center"/>
          </w:tcPr>
          <w:p w:rsidR="006C7A0A" w:rsidRDefault="0022416E">
            <w:pPr>
              <w:jc w:val="right"/>
              <w:rPr>
                <w:bCs/>
                <w:color w:val="000000"/>
                <w:lang w:val="en-US"/>
              </w:rPr>
            </w:pPr>
            <w:r>
              <w:rPr>
                <w:bCs/>
                <w:color w:val="000000"/>
                <w:lang w:val="en-US"/>
              </w:rPr>
              <w:t>4,6 + (-4,7) = -0,1</w:t>
            </w:r>
          </w:p>
        </w:tc>
      </w:tr>
      <w:tr w:rsidR="006C7A0A">
        <w:trPr>
          <w:trHeight w:val="214"/>
          <w:jc w:val="center"/>
        </w:trPr>
        <w:tc>
          <w:tcPr>
            <w:tcW w:w="2227" w:type="dxa"/>
            <w:tcBorders>
              <w:top w:val="single" w:sz="12" w:space="0" w:color="00000A"/>
              <w:left w:val="single" w:sz="12" w:space="0" w:color="00000A"/>
              <w:bottom w:val="single" w:sz="12" w:space="0" w:color="00000A"/>
              <w:right w:val="single" w:sz="4" w:space="0" w:color="00000A"/>
            </w:tcBorders>
            <w:shd w:val="clear" w:color="auto" w:fill="FFFFFF"/>
            <w:tcMar>
              <w:left w:w="60" w:type="dxa"/>
            </w:tcMar>
            <w:vAlign w:val="center"/>
          </w:tcPr>
          <w:p w:rsidR="006C7A0A" w:rsidRDefault="0022416E">
            <w:pPr>
              <w:rPr>
                <w:b/>
                <w:bCs/>
                <w:color w:val="000000"/>
                <w:lang w:val="en-US"/>
              </w:rPr>
            </w:pPr>
            <w:r>
              <w:rPr>
                <w:b/>
                <w:bCs/>
                <w:color w:val="000000"/>
                <w:lang w:val="en-US"/>
              </w:rPr>
              <w:t>Total</w:t>
            </w:r>
          </w:p>
        </w:tc>
        <w:tc>
          <w:tcPr>
            <w:tcW w:w="3039" w:type="dxa"/>
            <w:tcBorders>
              <w:top w:val="single" w:sz="12" w:space="0" w:color="00000A"/>
              <w:left w:val="single" w:sz="4" w:space="0" w:color="00000A"/>
              <w:bottom w:val="single" w:sz="12" w:space="0" w:color="00000A"/>
              <w:right w:val="single" w:sz="12" w:space="0" w:color="00000A"/>
            </w:tcBorders>
            <w:shd w:val="clear" w:color="auto" w:fill="FFFFFF"/>
            <w:tcMar>
              <w:left w:w="70" w:type="dxa"/>
            </w:tcMar>
            <w:vAlign w:val="center"/>
          </w:tcPr>
          <w:p w:rsidR="006C7A0A" w:rsidRDefault="0022416E">
            <w:pPr>
              <w:jc w:val="right"/>
              <w:rPr>
                <w:b/>
                <w:bCs/>
                <w:color w:val="000000"/>
                <w:lang w:val="en-US"/>
              </w:rPr>
            </w:pPr>
            <w:r>
              <w:rPr>
                <w:b/>
                <w:bCs/>
                <w:color w:val="000000"/>
                <w:lang w:val="en-US"/>
              </w:rPr>
              <w:t>0,25 + (-0,1) = 0,15</w:t>
            </w:r>
          </w:p>
        </w:tc>
      </w:tr>
    </w:tbl>
    <w:p w:rsidR="006C7A0A" w:rsidRDefault="006C7A0A">
      <w:pPr>
        <w:pStyle w:val="CM-body"/>
      </w:pPr>
    </w:p>
    <w:p w:rsidR="006C7A0A" w:rsidRDefault="0022416E">
      <w:pPr>
        <w:pStyle w:val="CM-body"/>
      </w:pPr>
      <w:r>
        <w:t>The results show that if we consider internal factors, the implementation of BIM in Facility management is advantageous, the total value of Strengths is higher than the total value of Weaknesses. If we consider the external factors, however, the implementation is risky. It is mainly caused by the unwillingness of the contractors to use BIM. The highest weight is given to this factor. The situation can be solved by specifications of selection process – documentation created in BIM may be demanded.</w:t>
      </w:r>
    </w:p>
    <w:p w:rsidR="006C7A0A" w:rsidRDefault="0022416E">
      <w:pPr>
        <w:pStyle w:val="CM-body"/>
      </w:pPr>
      <w:r>
        <w:t xml:space="preserve">This paper could be suitably followed by a deeper analysis of the factors and their impact. For </w:t>
      </w:r>
      <w:proofErr w:type="gramStart"/>
      <w:r>
        <w:t>example</w:t>
      </w:r>
      <w:proofErr w:type="gramEnd"/>
      <w:r>
        <w:t xml:space="preserve"> a questionnaire for the contractors about their willingness to implement BIM in their processes. Another follow-up can be an analysis of the Facility management information systems (CAFM, CMMS systems) and their suitability with the BIM models.</w:t>
      </w:r>
    </w:p>
    <w:p w:rsidR="006C7A0A" w:rsidRDefault="006C7A0A">
      <w:pPr>
        <w:pStyle w:val="CM-body"/>
      </w:pPr>
    </w:p>
    <w:p w:rsidR="006C7A0A" w:rsidRDefault="0022416E">
      <w:pPr>
        <w:pStyle w:val="CM-heading1"/>
      </w:pPr>
      <w:r>
        <w:t>References</w:t>
      </w:r>
    </w:p>
    <w:p w:rsidR="006C7A0A" w:rsidRDefault="0022416E">
      <w:pPr>
        <w:pStyle w:val="Bibliografie"/>
        <w:rPr>
          <w:vanish/>
        </w:rPr>
      </w:pPr>
      <w:r>
        <w:rPr>
          <w:vanish/>
        </w:rPr>
        <w:t>x</w:t>
      </w:r>
    </w:p>
    <w:tbl>
      <w:tblPr>
        <w:tblW w:w="9072"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291"/>
        <w:gridCol w:w="8781"/>
      </w:tblGrid>
      <w:tr w:rsidR="006C7A0A">
        <w:tc>
          <w:tcPr>
            <w:tcW w:w="291" w:type="dxa"/>
            <w:tcBorders>
              <w:top w:val="nil"/>
              <w:left w:val="nil"/>
              <w:bottom w:val="nil"/>
              <w:right w:val="nil"/>
            </w:tcBorders>
            <w:shd w:val="clear" w:color="auto" w:fill="auto"/>
          </w:tcPr>
          <w:p w:rsidR="006C7A0A" w:rsidRDefault="0022416E">
            <w:pPr>
              <w:pStyle w:val="Bibliografie"/>
            </w:pPr>
            <w:r>
              <w:t>1. </w:t>
            </w:r>
          </w:p>
        </w:tc>
        <w:tc>
          <w:tcPr>
            <w:tcW w:w="8780" w:type="dxa"/>
            <w:tcBorders>
              <w:top w:val="nil"/>
              <w:left w:val="nil"/>
              <w:bottom w:val="nil"/>
              <w:right w:val="nil"/>
            </w:tcBorders>
            <w:shd w:val="clear" w:color="auto" w:fill="auto"/>
          </w:tcPr>
          <w:p w:rsidR="006C7A0A" w:rsidRDefault="0022416E">
            <w:pPr>
              <w:pStyle w:val="Bibliografie"/>
            </w:pPr>
            <w:r>
              <w:t xml:space="preserve">REDDY, K. P. </w:t>
            </w:r>
            <w:r>
              <w:rPr>
                <w:i/>
                <w:iCs/>
              </w:rPr>
              <w:t xml:space="preserve">BIM </w:t>
            </w:r>
            <w:proofErr w:type="spellStart"/>
            <w:r>
              <w:rPr>
                <w:i/>
                <w:iCs/>
              </w:rPr>
              <w:t>for</w:t>
            </w:r>
            <w:proofErr w:type="spellEnd"/>
            <w:r>
              <w:rPr>
                <w:i/>
                <w:iCs/>
              </w:rPr>
              <w:t xml:space="preserve"> </w:t>
            </w:r>
            <w:proofErr w:type="spellStart"/>
            <w:r>
              <w:rPr>
                <w:i/>
                <w:iCs/>
              </w:rPr>
              <w:t>Building</w:t>
            </w:r>
            <w:proofErr w:type="spellEnd"/>
            <w:r>
              <w:rPr>
                <w:i/>
                <w:iCs/>
              </w:rPr>
              <w:t xml:space="preserve"> </w:t>
            </w:r>
            <w:proofErr w:type="spellStart"/>
            <w:r>
              <w:rPr>
                <w:i/>
                <w:iCs/>
              </w:rPr>
              <w:t>Owners</w:t>
            </w:r>
            <w:proofErr w:type="spellEnd"/>
            <w:r>
              <w:rPr>
                <w:i/>
                <w:iCs/>
              </w:rPr>
              <w:t xml:space="preserve"> and </w:t>
            </w:r>
            <w:proofErr w:type="spellStart"/>
            <w:r>
              <w:rPr>
                <w:i/>
                <w:iCs/>
              </w:rPr>
              <w:t>Developers</w:t>
            </w:r>
            <w:proofErr w:type="spellEnd"/>
            <w:r>
              <w:rPr>
                <w:i/>
                <w:iCs/>
              </w:rPr>
              <w:t xml:space="preserve">: </w:t>
            </w:r>
            <w:proofErr w:type="spellStart"/>
            <w:r>
              <w:rPr>
                <w:i/>
                <w:iCs/>
              </w:rPr>
              <w:t>Making</w:t>
            </w:r>
            <w:proofErr w:type="spellEnd"/>
            <w:r>
              <w:rPr>
                <w:i/>
                <w:iCs/>
              </w:rPr>
              <w:t xml:space="preserve"> a Business Case </w:t>
            </w:r>
            <w:proofErr w:type="spellStart"/>
            <w:r>
              <w:rPr>
                <w:i/>
                <w:iCs/>
              </w:rPr>
              <w:t>for</w:t>
            </w:r>
            <w:proofErr w:type="spellEnd"/>
            <w:r>
              <w:rPr>
                <w:i/>
                <w:iCs/>
              </w:rPr>
              <w:t xml:space="preserve"> </w:t>
            </w:r>
            <w:proofErr w:type="spellStart"/>
            <w:r>
              <w:rPr>
                <w:i/>
                <w:iCs/>
              </w:rPr>
              <w:t>Using</w:t>
            </w:r>
            <w:proofErr w:type="spellEnd"/>
            <w:r>
              <w:rPr>
                <w:i/>
                <w:iCs/>
              </w:rPr>
              <w:t xml:space="preserve"> BIM on </w:t>
            </w:r>
            <w:proofErr w:type="spellStart"/>
            <w:r>
              <w:rPr>
                <w:i/>
                <w:iCs/>
              </w:rPr>
              <w:t>Projects</w:t>
            </w:r>
            <w:proofErr w:type="spellEnd"/>
            <w:r>
              <w:t xml:space="preserve">. </w:t>
            </w:r>
            <w:proofErr w:type="spellStart"/>
            <w:r>
              <w:t>Hoboken</w:t>
            </w:r>
            <w:proofErr w:type="spellEnd"/>
            <w:r>
              <w:t xml:space="preserve">, New Jersey: John </w:t>
            </w:r>
            <w:proofErr w:type="spellStart"/>
            <w:r>
              <w:t>Wiley</w:t>
            </w:r>
            <w:proofErr w:type="spellEnd"/>
            <w:r>
              <w:t xml:space="preserve"> &amp; </w:t>
            </w:r>
            <w:proofErr w:type="spellStart"/>
            <w:r>
              <w:t>Sons</w:t>
            </w:r>
            <w:proofErr w:type="spellEnd"/>
            <w:r>
              <w:t>, Inc. 2012. ISBN 978-0-470-90598-2.</w:t>
            </w:r>
          </w:p>
        </w:tc>
      </w:tr>
      <w:tr w:rsidR="006C7A0A">
        <w:tc>
          <w:tcPr>
            <w:tcW w:w="291" w:type="dxa"/>
            <w:tcBorders>
              <w:top w:val="nil"/>
              <w:left w:val="nil"/>
              <w:bottom w:val="nil"/>
              <w:right w:val="nil"/>
            </w:tcBorders>
            <w:shd w:val="clear" w:color="auto" w:fill="auto"/>
          </w:tcPr>
          <w:p w:rsidR="006C7A0A" w:rsidRDefault="0022416E">
            <w:pPr>
              <w:pStyle w:val="Bibliografie"/>
            </w:pPr>
            <w:r>
              <w:t>2. </w:t>
            </w:r>
          </w:p>
        </w:tc>
        <w:tc>
          <w:tcPr>
            <w:tcW w:w="8780" w:type="dxa"/>
            <w:tcBorders>
              <w:top w:val="nil"/>
              <w:left w:val="nil"/>
              <w:bottom w:val="nil"/>
              <w:right w:val="nil"/>
            </w:tcBorders>
            <w:shd w:val="clear" w:color="auto" w:fill="auto"/>
          </w:tcPr>
          <w:p w:rsidR="006C7A0A" w:rsidRDefault="0022416E">
            <w:pPr>
              <w:pStyle w:val="Bibliografie"/>
            </w:pPr>
            <w:r>
              <w:t xml:space="preserve">IFMA, IFMA FOUNDATION, EDITED BY PAUL TEICHOLZ. </w:t>
            </w:r>
            <w:r>
              <w:rPr>
                <w:i/>
                <w:iCs/>
              </w:rPr>
              <w:t xml:space="preserve">BIM </w:t>
            </w:r>
            <w:proofErr w:type="spellStart"/>
            <w:r>
              <w:rPr>
                <w:i/>
                <w:iCs/>
              </w:rPr>
              <w:t>for</w:t>
            </w:r>
            <w:proofErr w:type="spellEnd"/>
            <w:r>
              <w:rPr>
                <w:i/>
                <w:iCs/>
              </w:rPr>
              <w:t xml:space="preserve"> facility </w:t>
            </w:r>
            <w:proofErr w:type="spellStart"/>
            <w:r>
              <w:rPr>
                <w:i/>
                <w:iCs/>
              </w:rPr>
              <w:t>managers</w:t>
            </w:r>
            <w:proofErr w:type="spellEnd"/>
            <w:r>
              <w:t xml:space="preserve">. </w:t>
            </w:r>
            <w:proofErr w:type="spellStart"/>
            <w:r>
              <w:t>Hoboken</w:t>
            </w:r>
            <w:proofErr w:type="spellEnd"/>
            <w:r>
              <w:t xml:space="preserve">, New Jersey: John </w:t>
            </w:r>
            <w:proofErr w:type="spellStart"/>
            <w:r>
              <w:t>Wiley</w:t>
            </w:r>
            <w:proofErr w:type="spellEnd"/>
            <w:r>
              <w:t xml:space="preserve"> &amp; </w:t>
            </w:r>
            <w:proofErr w:type="spellStart"/>
            <w:r>
              <w:t>Sons</w:t>
            </w:r>
            <w:proofErr w:type="spellEnd"/>
            <w:r>
              <w:t>, Inc. 2013. ISBN 978-1-118-38281-1.</w:t>
            </w:r>
          </w:p>
        </w:tc>
      </w:tr>
    </w:tbl>
    <w:p w:rsidR="006C7A0A" w:rsidRDefault="0022416E">
      <w:pPr>
        <w:pStyle w:val="Bibliografie"/>
        <w:rPr>
          <w:vanish/>
        </w:rPr>
      </w:pPr>
      <w:r>
        <w:rPr>
          <w:vanish/>
        </w:rPr>
        <w:t>x</w:t>
      </w:r>
    </w:p>
    <w:p w:rsidR="006C7A0A" w:rsidRDefault="006C7A0A"/>
    <w:p w:rsidR="006C7A0A" w:rsidRDefault="0022416E">
      <w:pPr>
        <w:pStyle w:val="CM-heading1"/>
      </w:pPr>
      <w:r>
        <w:t>Acknowledgements</w:t>
      </w:r>
    </w:p>
    <w:p w:rsidR="006C7A0A" w:rsidRDefault="0022416E">
      <w:pPr>
        <w:pStyle w:val="CM-keywords"/>
        <w:rPr>
          <w:shd w:val="clear" w:color="auto" w:fill="FFFF00"/>
        </w:rPr>
      </w:pPr>
      <w:r>
        <w:t xml:space="preserve">This work was supported by the Grant Agency of the Czech Technical University in Prague, grant </w:t>
      </w:r>
      <w:r>
        <w:rPr>
          <w:rStyle w:val="bold"/>
        </w:rPr>
        <w:t>SGS15/132/OHK1/2T/11</w:t>
      </w:r>
      <w:r>
        <w:t>.</w:t>
      </w:r>
    </w:p>
    <w:p w:rsidR="006C7A0A" w:rsidRDefault="006C7A0A">
      <w:pPr>
        <w:pStyle w:val="CM-body"/>
      </w:pPr>
    </w:p>
    <w:sectPr w:rsidR="006C7A0A">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9ED"/>
    <w:multiLevelType w:val="multilevel"/>
    <w:tmpl w:val="AF08373E"/>
    <w:lvl w:ilvl="0">
      <w:start w:val="1"/>
      <w:numFmt w:val="bullet"/>
      <w:lvlText w:val=""/>
      <w:lvlJc w:val="left"/>
      <w:pPr>
        <w:ind w:left="947" w:hanging="360"/>
      </w:pPr>
      <w:rPr>
        <w:rFonts w:ascii="Symbol" w:hAnsi="Symbol" w:cs="Symbol"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rPr>
    </w:lvl>
    <w:lvl w:ilvl="3">
      <w:start w:val="1"/>
      <w:numFmt w:val="bullet"/>
      <w:lvlText w:val=""/>
      <w:lvlJc w:val="left"/>
      <w:pPr>
        <w:ind w:left="3107" w:hanging="360"/>
      </w:pPr>
      <w:rPr>
        <w:rFonts w:ascii="Symbol" w:hAnsi="Symbol" w:cs="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rPr>
    </w:lvl>
    <w:lvl w:ilvl="6">
      <w:start w:val="1"/>
      <w:numFmt w:val="bullet"/>
      <w:lvlText w:val=""/>
      <w:lvlJc w:val="left"/>
      <w:pPr>
        <w:ind w:left="5267" w:hanging="360"/>
      </w:pPr>
      <w:rPr>
        <w:rFonts w:ascii="Symbol" w:hAnsi="Symbol" w:cs="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rPr>
    </w:lvl>
  </w:abstractNum>
  <w:abstractNum w:abstractNumId="1" w15:restartNumberingAfterBreak="0">
    <w:nsid w:val="31A94E4A"/>
    <w:multiLevelType w:val="multilevel"/>
    <w:tmpl w:val="6256F1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7BF69E3"/>
    <w:multiLevelType w:val="multilevel"/>
    <w:tmpl w:val="ECB452A4"/>
    <w:lvl w:ilvl="0">
      <w:start w:val="1"/>
      <w:numFmt w:val="bullet"/>
      <w:pStyle w:val="CM-bulletlist"/>
      <w:lvlText w:val=""/>
      <w:lvlJc w:val="left"/>
      <w:pPr>
        <w:ind w:left="340" w:hanging="227"/>
      </w:pPr>
      <w:rPr>
        <w:rFonts w:ascii="Symbol" w:hAnsi="Symbol" w:cs="Symbol" w:hint="default"/>
      </w:rPr>
    </w:lvl>
    <w:lvl w:ilvl="1">
      <w:start w:val="1"/>
      <w:numFmt w:val="bullet"/>
      <w:lvlText w:val=""/>
      <w:lvlJc w:val="left"/>
      <w:pPr>
        <w:ind w:left="680" w:hanging="227"/>
      </w:pPr>
      <w:rPr>
        <w:rFonts w:ascii="Symbol" w:hAnsi="Symbol" w:cs="Symbol" w:hint="default"/>
      </w:rPr>
    </w:lvl>
    <w:lvl w:ilvl="2">
      <w:start w:val="1"/>
      <w:numFmt w:val="bullet"/>
      <w:lvlText w:val=""/>
      <w:lvlJc w:val="left"/>
      <w:pPr>
        <w:ind w:left="1020" w:hanging="227"/>
      </w:pPr>
      <w:rPr>
        <w:rFonts w:ascii="Symbol" w:hAnsi="Symbol" w:cs="Symbol" w:hint="default"/>
      </w:rPr>
    </w:lvl>
    <w:lvl w:ilvl="3">
      <w:start w:val="1"/>
      <w:numFmt w:val="bullet"/>
      <w:lvlText w:val=""/>
      <w:lvlJc w:val="left"/>
      <w:pPr>
        <w:ind w:left="1360" w:hanging="227"/>
      </w:pPr>
      <w:rPr>
        <w:rFonts w:ascii="Symbol" w:hAnsi="Symbol" w:cs="Symbol" w:hint="default"/>
      </w:rPr>
    </w:lvl>
    <w:lvl w:ilvl="4">
      <w:start w:val="1"/>
      <w:numFmt w:val="bullet"/>
      <w:lvlText w:val=""/>
      <w:lvlJc w:val="left"/>
      <w:pPr>
        <w:ind w:left="1700" w:hanging="227"/>
      </w:pPr>
      <w:rPr>
        <w:rFonts w:ascii="Symbol" w:hAnsi="Symbol" w:cs="Symbol" w:hint="default"/>
      </w:rPr>
    </w:lvl>
    <w:lvl w:ilvl="5">
      <w:start w:val="1"/>
      <w:numFmt w:val="bullet"/>
      <w:lvlText w:val=""/>
      <w:lvlJc w:val="left"/>
      <w:pPr>
        <w:ind w:left="2040" w:hanging="227"/>
      </w:pPr>
      <w:rPr>
        <w:rFonts w:ascii="Symbol" w:hAnsi="Symbol" w:cs="Symbol" w:hint="default"/>
      </w:rPr>
    </w:lvl>
    <w:lvl w:ilvl="6">
      <w:start w:val="1"/>
      <w:numFmt w:val="bullet"/>
      <w:lvlText w:val=""/>
      <w:lvlJc w:val="left"/>
      <w:pPr>
        <w:ind w:left="2380" w:hanging="227"/>
      </w:pPr>
      <w:rPr>
        <w:rFonts w:ascii="Symbol" w:hAnsi="Symbol" w:cs="Symbol" w:hint="default"/>
      </w:rPr>
    </w:lvl>
    <w:lvl w:ilvl="7">
      <w:start w:val="1"/>
      <w:numFmt w:val="bullet"/>
      <w:lvlText w:val=""/>
      <w:lvlJc w:val="left"/>
      <w:pPr>
        <w:ind w:left="2720" w:hanging="227"/>
      </w:pPr>
      <w:rPr>
        <w:rFonts w:ascii="Symbol" w:hAnsi="Symbol" w:cs="Symbol" w:hint="default"/>
      </w:rPr>
    </w:lvl>
    <w:lvl w:ilvl="8">
      <w:start w:val="1"/>
      <w:numFmt w:val="bullet"/>
      <w:lvlText w:val=""/>
      <w:lvlJc w:val="left"/>
      <w:pPr>
        <w:ind w:left="3060" w:hanging="227"/>
      </w:pPr>
      <w:rPr>
        <w:rFonts w:ascii="Wingdings" w:hAnsi="Wingdings" w:cs="Wingdings" w:hint="default"/>
      </w:rPr>
    </w:lvl>
  </w:abstractNum>
  <w:abstractNum w:abstractNumId="3" w15:restartNumberingAfterBreak="0">
    <w:nsid w:val="684D1EEF"/>
    <w:multiLevelType w:val="multilevel"/>
    <w:tmpl w:val="CE6240EC"/>
    <w:lvl w:ilvl="0">
      <w:start w:val="1"/>
      <w:numFmt w:val="decimal"/>
      <w:pStyle w:val="CM-references"/>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876C1E"/>
    <w:multiLevelType w:val="multilevel"/>
    <w:tmpl w:val="10B653EE"/>
    <w:lvl w:ilvl="0">
      <w:start w:val="1"/>
      <w:numFmt w:val="bullet"/>
      <w:lvlText w:val=""/>
      <w:lvlJc w:val="left"/>
      <w:pPr>
        <w:ind w:left="947" w:hanging="360"/>
      </w:pPr>
      <w:rPr>
        <w:rFonts w:ascii="Symbol" w:hAnsi="Symbol" w:cs="Symbol"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rPr>
    </w:lvl>
    <w:lvl w:ilvl="3">
      <w:start w:val="1"/>
      <w:numFmt w:val="bullet"/>
      <w:lvlText w:val=""/>
      <w:lvlJc w:val="left"/>
      <w:pPr>
        <w:ind w:left="3107" w:hanging="360"/>
      </w:pPr>
      <w:rPr>
        <w:rFonts w:ascii="Symbol" w:hAnsi="Symbol" w:cs="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rPr>
    </w:lvl>
    <w:lvl w:ilvl="6">
      <w:start w:val="1"/>
      <w:numFmt w:val="bullet"/>
      <w:lvlText w:val=""/>
      <w:lvlJc w:val="left"/>
      <w:pPr>
        <w:ind w:left="5267" w:hanging="360"/>
      </w:pPr>
      <w:rPr>
        <w:rFonts w:ascii="Symbol" w:hAnsi="Symbol" w:cs="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C7A0A"/>
    <w:rsid w:val="0022416E"/>
    <w:rsid w:val="00345454"/>
    <w:rsid w:val="006C7A0A"/>
    <w:rsid w:val="00D1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AE28"/>
  <w15:docId w15:val="{5C10B3A0-6FCA-4D5C-876C-480C5181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302F4"/>
    <w:pPr>
      <w:suppressAutoHyphens/>
      <w:spacing w:after="160"/>
    </w:pPr>
  </w:style>
  <w:style w:type="paragraph" w:styleId="Nadpis1">
    <w:name w:val="heading 1"/>
    <w:basedOn w:val="Normln"/>
    <w:link w:val="Nadpis1Char"/>
    <w:uiPriority w:val="9"/>
    <w:qFormat/>
    <w:rsid w:val="00A04167"/>
    <w:pPr>
      <w:keepNext/>
      <w:keepLines/>
      <w:spacing w:before="240" w:after="0"/>
      <w:outlineLvl w:val="0"/>
    </w:pPr>
    <w:rPr>
      <w:rFonts w:ascii="Calibri Light" w:hAnsi="Calibri Light"/>
      <w:color w:val="2E74B5"/>
      <w:sz w:val="32"/>
      <w:szCs w:val="32"/>
    </w:rPr>
  </w:style>
  <w:style w:type="paragraph" w:styleId="Nadpis2">
    <w:name w:val="heading 2"/>
    <w:basedOn w:val="Normln"/>
    <w:link w:val="Nadpis2Char"/>
    <w:uiPriority w:val="9"/>
    <w:semiHidden/>
    <w:unhideWhenUsed/>
    <w:rsid w:val="00D4314D"/>
    <w:pPr>
      <w:keepNext/>
      <w:keepLines/>
      <w:spacing w:before="40" w:after="0"/>
      <w:outlineLvl w:val="1"/>
    </w:pPr>
    <w:rPr>
      <w:rFonts w:ascii="Calibri Light" w:hAnsi="Calibri Light"/>
      <w:color w:val="2E74B5"/>
      <w:sz w:val="26"/>
      <w:szCs w:val="26"/>
    </w:rPr>
  </w:style>
  <w:style w:type="paragraph" w:styleId="Nadpis3">
    <w:name w:val="heading 3"/>
    <w:basedOn w:val="Normln"/>
    <w:link w:val="Nadpis3Char"/>
    <w:uiPriority w:val="9"/>
    <w:semiHidden/>
    <w:unhideWhenUsed/>
    <w:qFormat/>
    <w:rsid w:val="00D4314D"/>
    <w:pPr>
      <w:keepNext/>
      <w:keepLines/>
      <w:spacing w:before="40" w:after="0"/>
      <w:outlineLvl w:val="2"/>
    </w:pPr>
    <w:rPr>
      <w:rFonts w:ascii="Calibri Light"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4167"/>
    <w:rPr>
      <w:rFonts w:ascii="Calibri Light" w:hAnsi="Calibri Light"/>
      <w:color w:val="2E74B5"/>
      <w:sz w:val="32"/>
      <w:szCs w:val="32"/>
    </w:rPr>
  </w:style>
  <w:style w:type="character" w:customStyle="1" w:styleId="Nadpis2Char">
    <w:name w:val="Nadpis 2 Char"/>
    <w:basedOn w:val="Standardnpsmoodstavce"/>
    <w:link w:val="Nadpis2"/>
    <w:uiPriority w:val="9"/>
    <w:semiHidden/>
    <w:rsid w:val="00D4314D"/>
    <w:rPr>
      <w:rFonts w:ascii="Calibri Light" w:hAnsi="Calibri Light"/>
      <w:color w:val="2E74B5"/>
      <w:sz w:val="26"/>
      <w:szCs w:val="26"/>
    </w:rPr>
  </w:style>
  <w:style w:type="character" w:customStyle="1" w:styleId="Nadpis3Char">
    <w:name w:val="Nadpis 3 Char"/>
    <w:basedOn w:val="Standardnpsmoodstavce"/>
    <w:link w:val="Nadpis3"/>
    <w:uiPriority w:val="9"/>
    <w:semiHidden/>
    <w:rsid w:val="00D4314D"/>
    <w:rPr>
      <w:rFonts w:ascii="Calibri Light" w:hAnsi="Calibri Light"/>
      <w:color w:val="1F4D78"/>
      <w:sz w:val="24"/>
      <w:szCs w:val="24"/>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character" w:styleId="Odkaznakoment">
    <w:name w:val="annotation reference"/>
    <w:basedOn w:val="Standardnpsmoodstavce"/>
    <w:uiPriority w:val="99"/>
    <w:semiHidden/>
    <w:unhideWhenUsed/>
    <w:rsid w:val="00961B88"/>
    <w:rPr>
      <w:sz w:val="16"/>
      <w:szCs w:val="16"/>
    </w:rPr>
  </w:style>
  <w:style w:type="character" w:customStyle="1" w:styleId="TextkomenteChar">
    <w:name w:val="Text komentáře Char"/>
    <w:basedOn w:val="Standardnpsmoodstavce"/>
    <w:link w:val="Textkomente"/>
    <w:uiPriority w:val="99"/>
    <w:semiHidden/>
    <w:rsid w:val="00961B88"/>
    <w:rPr>
      <w:sz w:val="20"/>
      <w:szCs w:val="20"/>
    </w:rPr>
  </w:style>
  <w:style w:type="character" w:customStyle="1" w:styleId="PedmtkomenteChar">
    <w:name w:val="Předmět komentáře Char"/>
    <w:basedOn w:val="TextkomenteChar"/>
    <w:link w:val="Pedmtkomente"/>
    <w:uiPriority w:val="99"/>
    <w:semiHidden/>
    <w:rsid w:val="00961B88"/>
    <w:rPr>
      <w:b/>
      <w:bCs/>
      <w:sz w:val="20"/>
      <w:szCs w:val="20"/>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character" w:styleId="Zstupntext">
    <w:name w:val="Placeholder Text"/>
    <w:basedOn w:val="Standardnpsmoodstavce"/>
    <w:uiPriority w:val="99"/>
    <w:semiHidden/>
    <w:rsid w:val="00A72BDF"/>
    <w:rPr>
      <w:color w:val="808080"/>
    </w:rPr>
  </w:style>
  <w:style w:type="character" w:customStyle="1" w:styleId="Internetovodkaz">
    <w:name w:val="Internetový odkaz"/>
    <w:basedOn w:val="Standardnpsmoodstavce"/>
    <w:uiPriority w:val="99"/>
    <w:unhideWhenUsed/>
    <w:rsid w:val="00157F16"/>
    <w:rPr>
      <w:color w:val="0563C1"/>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vertAlign w:val="superscript"/>
    </w:rPr>
  </w:style>
  <w:style w:type="character" w:customStyle="1" w:styleId="ListLabel4">
    <w:name w:val="ListLabel 4"/>
    <w:rPr>
      <w:b w:val="0"/>
      <w:i w:val="0"/>
      <w:sz w:val="20"/>
      <w:szCs w:val="20"/>
    </w:rPr>
  </w:style>
  <w:style w:type="paragraph" w:customStyle="1" w:styleId="Nadpis">
    <w:name w:val="Nadpis"/>
    <w:basedOn w:val="Normln"/>
    <w:next w:val="Tlotextu"/>
    <w:pPr>
      <w:keepNext/>
      <w:spacing w:before="240" w:after="120"/>
    </w:pPr>
    <w:rPr>
      <w:rFonts w:ascii="Liberation Sans" w:hAnsi="Liberation Sans" w:cs="FreeSans"/>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FreeSans"/>
    </w:rPr>
  </w:style>
  <w:style w:type="paragraph" w:customStyle="1" w:styleId="Popisek">
    <w:name w:val="Popisek"/>
    <w:basedOn w:val="Normln"/>
    <w:pPr>
      <w:suppressLineNumbers/>
      <w:spacing w:before="120" w:after="120"/>
    </w:pPr>
    <w:rPr>
      <w:rFonts w:cs="FreeSans"/>
      <w:i/>
      <w:iCs/>
      <w:sz w:val="24"/>
      <w:szCs w:val="24"/>
    </w:rPr>
  </w:style>
  <w:style w:type="paragraph" w:customStyle="1" w:styleId="Rejstk">
    <w:name w:val="Rejstřík"/>
    <w:basedOn w:val="Normln"/>
    <w:pPr>
      <w:suppressLineNumbers/>
    </w:pPr>
    <w:rPr>
      <w:rFonts w:cs="FreeSans"/>
    </w:rPr>
  </w:style>
  <w:style w:type="paragraph" w:customStyle="1" w:styleId="CM-body">
    <w:name w:val="CM-body"/>
    <w:qFormat/>
    <w:rsid w:val="006846BD"/>
    <w:pPr>
      <w:suppressAutoHyphens/>
      <w:spacing w:after="60"/>
      <w:ind w:firstLine="227"/>
      <w:jc w:val="both"/>
    </w:pPr>
    <w:rPr>
      <w:lang w:val="en-US"/>
    </w:rPr>
  </w:style>
  <w:style w:type="paragraph" w:customStyle="1" w:styleId="CM-bulletlist">
    <w:name w:val="CM-bulletlist"/>
    <w:basedOn w:val="CM-body"/>
    <w:qFormat/>
    <w:rsid w:val="008641E8"/>
    <w:pPr>
      <w:numPr>
        <w:numId w:val="1"/>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00000A"/>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qFormat/>
    <w:rsid w:val="00D4314D"/>
  </w:style>
  <w:style w:type="paragraph" w:customStyle="1" w:styleId="CM-heading2">
    <w:name w:val="CM-heading_2"/>
    <w:basedOn w:val="Nadpis2"/>
    <w:next w:val="CM-body"/>
    <w:qFormat/>
    <w:rsid w:val="005531C2"/>
    <w:pPr>
      <w:spacing w:before="180" w:after="120"/>
    </w:pPr>
    <w:rPr>
      <w:rFonts w:ascii="Calibri" w:hAnsi="Calibri"/>
      <w:b/>
      <w:color w:val="00000A"/>
      <w:sz w:val="28"/>
      <w:lang w:val="en-US"/>
    </w:rPr>
  </w:style>
  <w:style w:type="paragraph" w:customStyle="1" w:styleId="CM-heading3">
    <w:name w:val="CM-heading_3"/>
    <w:basedOn w:val="Nadpis3"/>
    <w:next w:val="CM-body"/>
    <w:qFormat/>
    <w:rsid w:val="005531C2"/>
    <w:pPr>
      <w:spacing w:before="120" w:after="60"/>
    </w:pPr>
    <w:rPr>
      <w:rFonts w:ascii="Calibri" w:hAnsi="Calibri"/>
      <w:b/>
      <w:color w:val="00000A"/>
      <w:lang w:val="en-US"/>
    </w:rPr>
  </w:style>
  <w:style w:type="paragraph" w:customStyle="1" w:styleId="CM-captionfigure">
    <w:name w:val="CM-caption_figure"/>
    <w:basedOn w:val="CM-captiontable"/>
    <w:next w:val="CM-body"/>
    <w:qFormat/>
    <w:rsid w:val="004A69CB"/>
    <w:pPr>
      <w:spacing w:before="60"/>
      <w:jc w:val="center"/>
    </w:p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paragraph" w:styleId="Pedmtkomente">
    <w:name w:val="annotation subject"/>
    <w:basedOn w:val="Textkomente"/>
    <w:link w:val="PedmtkomenteChar"/>
    <w:uiPriority w:val="99"/>
    <w:semiHidden/>
    <w:unhideWhenUsed/>
    <w:rsid w:val="00961B88"/>
    <w:rPr>
      <w:b/>
      <w:bCs/>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paragraph" w:customStyle="1" w:styleId="CM-referencesheading">
    <w:name w:val="CM-references_heading"/>
    <w:basedOn w:val="CM-abstractheading"/>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rsid w:val="00674E5C"/>
    <w:pPr>
      <w:spacing w:before="120" w:after="120"/>
      <w:ind w:firstLine="0"/>
      <w:jc w:val="center"/>
    </w:pPr>
    <w:rPr>
      <w:lang w:val="cs-CZ" w:eastAsia="cs-CZ"/>
    </w:rPr>
  </w:style>
  <w:style w:type="paragraph" w:customStyle="1" w:styleId="CM-table">
    <w:name w:val="CM-table"/>
    <w:basedOn w:val="CM-body"/>
    <w:qFormat/>
    <w:rsid w:val="00896B61"/>
    <w:pPr>
      <w:spacing w:after="0" w:line="240" w:lineRule="auto"/>
      <w:ind w:firstLine="0"/>
    </w:p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
      </w:numPr>
      <w:spacing w:after="0"/>
      <w:ind w:left="567" w:hanging="567"/>
    </w:pPr>
    <w:rPr>
      <w:sz w:val="20"/>
      <w:szCs w:val="20"/>
    </w:rPr>
  </w:style>
  <w:style w:type="paragraph" w:styleId="Titulek">
    <w:name w:val="caption"/>
    <w:basedOn w:val="Normln"/>
    <w:uiPriority w:val="35"/>
    <w:unhideWhenUsed/>
    <w:qFormat/>
    <w:rsid w:val="00317C90"/>
    <w:pPr>
      <w:spacing w:after="200" w:line="240" w:lineRule="auto"/>
    </w:pPr>
    <w:rPr>
      <w:i/>
      <w:iCs/>
      <w:color w:val="44546A"/>
      <w:sz w:val="18"/>
      <w:szCs w:val="18"/>
    </w:rPr>
  </w:style>
  <w:style w:type="paragraph" w:styleId="Bibliografie">
    <w:name w:val="Bibliography"/>
    <w:basedOn w:val="Normln"/>
    <w:uiPriority w:val="37"/>
    <w:unhideWhenUsed/>
    <w:rsid w:val="00C26F3B"/>
  </w:style>
  <w:style w:type="numbering" w:customStyle="1" w:styleId="MES-bulletliststyle">
    <w:name w:val="MES-bulletlist_style"/>
    <w:uiPriority w:val="99"/>
    <w:rsid w:val="006E6AF2"/>
  </w:style>
  <w:style w:type="table" w:styleId="Mkatabulky">
    <w:name w:val="Table Grid"/>
    <w:basedOn w:val="Normlntabulka"/>
    <w:uiPriority w:val="39"/>
    <w:rsid w:val="00497D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22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ous.kosina@fsv.cvut.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b:Source>
    <b:Tag>Red12</b:Tag>
    <b:SourceType>Book</b:SourceType>
    <b:Guid>{A45BB951-DDEF-4EDA-AE64-AB5CDC45C502}</b:Guid>
    <b:Author>
      <b:Author>
        <b:NameList>
          <b:Person>
            <b:Last>Reddy</b:Last>
            <b:First>K.</b:First>
            <b:Middle>Pramod</b:Middle>
          </b:Person>
        </b:NameList>
      </b:Author>
    </b:Author>
    <b:Title>BIM for Building Owners and Developers: Making a Business Case for Using BIM on Projects</b:Title>
    <b:Year>2012</b:Year>
    <b:Publisher>John Wiley &amp; Sons, Inc.</b:Publisher>
    <b:StandardNumber>ISBN 978-0-470-90598-2</b:StandardNumber>
    <b:City>Hoboken, New Jersey</b:City>
    <b:RefOrder>1</b:RefOrder>
  </b:Source>
  <b:Source>
    <b:Tag>3</b:Tag>
    <b:SourceType>Book</b:SourceType>
    <b:Guid>{546025E4-14CF-4FEA-B46C-65BB79800145}</b:Guid>
    <b:Title>BIM for facility managers</b:Title>
    <b:City>Hoboken, New Jersey</b:City>
    <b:Publisher>John Wiley &amp; Sons, Inc.</b:Publisher>
    <b:Year>2013</b:Year>
    <b:StandardNumber>ISBN 978-1-118-38281-1</b:StandardNumber>
    <b:Author>
      <b:Author>
        <b:Corporate>IFMA, IFMA Foundation, edited by Paul Teicholz</b:Corporate>
      </b:Author>
    </b:Author>
    <b:RefOrder>2</b:RefOrder>
  </b:Source>
</b:Sources>
</file>

<file path=customXml/itemProps1.xml><?xml version="1.0" encoding="utf-8"?>
<ds:datastoreItem xmlns:ds="http://schemas.openxmlformats.org/officeDocument/2006/customXml" ds:itemID="{5D059691-84A9-4474-BE55-81FC50BF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1355</Words>
  <Characters>8000</Characters>
  <Application>Microsoft Office Word</Application>
  <DocSecurity>0</DocSecurity>
  <Lines>66</Lines>
  <Paragraphs>18</Paragraphs>
  <ScaleCrop>false</ScaleCrop>
  <Company>ČVUT, FSv</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 Kosina</dc:creator>
  <cp:lastModifiedBy>Petr Matějka</cp:lastModifiedBy>
  <cp:revision>18</cp:revision>
  <dcterms:created xsi:type="dcterms:W3CDTF">2015-11-29T10:14:00Z</dcterms:created>
  <dcterms:modified xsi:type="dcterms:W3CDTF">2016-10-01T07:25:00Z</dcterms:modified>
  <dc:language>cs-CZ</dc:language>
</cp:coreProperties>
</file>